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90" w:rsidRPr="00404790" w:rsidRDefault="0035257E" w:rsidP="0040479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消費税を考える</w:t>
      </w:r>
    </w:p>
    <w:p w:rsidR="00404790" w:rsidRDefault="0077672E" w:rsidP="00404790">
      <w:pPr>
        <w:jc w:val="right"/>
      </w:pPr>
      <w:r>
        <w:rPr>
          <w:rFonts w:hint="eastAsia"/>
        </w:rPr>
        <w:t>2016</w:t>
      </w:r>
      <w:r w:rsidR="00404790">
        <w:rPr>
          <w:rFonts w:hint="eastAsia"/>
        </w:rPr>
        <w:t>年</w:t>
      </w:r>
      <w:r w:rsidR="0035257E">
        <w:rPr>
          <w:rFonts w:hint="eastAsia"/>
        </w:rPr>
        <w:t>6</w:t>
      </w:r>
      <w:r w:rsidR="00404790">
        <w:rPr>
          <w:rFonts w:hint="eastAsia"/>
        </w:rPr>
        <w:t>月</w:t>
      </w:r>
      <w:r w:rsidR="00265DD2">
        <w:rPr>
          <w:rFonts w:hint="eastAsia"/>
        </w:rPr>
        <w:t>8</w:t>
      </w:r>
      <w:r w:rsidR="00404790">
        <w:rPr>
          <w:rFonts w:hint="eastAsia"/>
        </w:rPr>
        <w:t>日</w:t>
      </w:r>
    </w:p>
    <w:p w:rsidR="00404790" w:rsidRDefault="00404790" w:rsidP="00404790">
      <w:pPr>
        <w:jc w:val="right"/>
      </w:pPr>
      <w:r>
        <w:rPr>
          <w:rFonts w:hint="eastAsia"/>
        </w:rPr>
        <w:t>船戸　明</w:t>
      </w:r>
    </w:p>
    <w:p w:rsidR="000430CD" w:rsidRDefault="000430CD" w:rsidP="000430CD"/>
    <w:p w:rsidR="000430CD" w:rsidRPr="00404790" w:rsidRDefault="000430CD" w:rsidP="000430CD">
      <w:pPr>
        <w:rPr>
          <w:b/>
          <w:u w:val="single"/>
        </w:rPr>
      </w:pPr>
      <w:r w:rsidRPr="00404790">
        <w:rPr>
          <w:rFonts w:hint="eastAsia"/>
          <w:b/>
          <w:u w:val="single"/>
        </w:rPr>
        <w:t>１．</w:t>
      </w:r>
      <w:r w:rsidR="0035257E">
        <w:rPr>
          <w:rFonts w:hint="eastAsia"/>
          <w:b/>
          <w:u w:val="single"/>
        </w:rPr>
        <w:t>税率引き上げの再延期</w:t>
      </w:r>
    </w:p>
    <w:p w:rsidR="000430CD" w:rsidRDefault="0035257E" w:rsidP="000430CD">
      <w:r>
        <w:rPr>
          <w:rFonts w:hint="eastAsia"/>
        </w:rPr>
        <w:t>（１）</w:t>
      </w:r>
      <w:r>
        <w:rPr>
          <w:rFonts w:hint="eastAsia"/>
        </w:rPr>
        <w:t>H26</w:t>
      </w:r>
      <w:r>
        <w:rPr>
          <w:rFonts w:hint="eastAsia"/>
        </w:rPr>
        <w:t>年</w:t>
      </w:r>
      <w:r>
        <w:rPr>
          <w:rFonts w:hint="eastAsia"/>
        </w:rPr>
        <w:t>11</w:t>
      </w:r>
      <w:r>
        <w:rPr>
          <w:rFonts w:hint="eastAsia"/>
        </w:rPr>
        <w:t>月と</w:t>
      </w:r>
      <w:r>
        <w:rPr>
          <w:rFonts w:hint="eastAsia"/>
        </w:rPr>
        <w:t>H28</w:t>
      </w:r>
      <w:r>
        <w:rPr>
          <w:rFonts w:hint="eastAsia"/>
        </w:rPr>
        <w:t>年</w:t>
      </w:r>
      <w:r>
        <w:rPr>
          <w:rFonts w:hint="eastAsia"/>
        </w:rPr>
        <w:t>6</w:t>
      </w:r>
      <w:r>
        <w:rPr>
          <w:rFonts w:hint="eastAsia"/>
        </w:rPr>
        <w:t>月</w:t>
      </w:r>
    </w:p>
    <w:p w:rsidR="000430CD" w:rsidRDefault="000430CD" w:rsidP="000430CD">
      <w:r>
        <w:rPr>
          <w:rFonts w:hint="eastAsia"/>
        </w:rPr>
        <w:t xml:space="preserve">　　　・</w:t>
      </w:r>
      <w:r w:rsidR="0035257E">
        <w:rPr>
          <w:rFonts w:hint="eastAsia"/>
        </w:rPr>
        <w:t>微妙な空気の違い</w:t>
      </w:r>
    </w:p>
    <w:p w:rsidR="0035257E" w:rsidRDefault="0035257E" w:rsidP="000430CD">
      <w:r>
        <w:rPr>
          <w:rFonts w:hint="eastAsia"/>
        </w:rPr>
        <w:t xml:space="preserve">　　　・「どっちにしたって無駄なものは買わない」</w:t>
      </w:r>
    </w:p>
    <w:p w:rsidR="005C3355" w:rsidRDefault="0035257E" w:rsidP="000430CD">
      <w:r>
        <w:rPr>
          <w:rFonts w:hint="eastAsia"/>
        </w:rPr>
        <w:t xml:space="preserve">　　　・</w:t>
      </w:r>
      <w:r>
        <w:rPr>
          <w:rFonts w:hint="eastAsia"/>
        </w:rPr>
        <w:t>H28/6/6</w:t>
      </w:r>
      <w:r>
        <w:rPr>
          <w:rFonts w:hint="eastAsia"/>
        </w:rPr>
        <w:t xml:space="preserve">　日経</w:t>
      </w:r>
      <w:r>
        <w:rPr>
          <w:rFonts w:hint="eastAsia"/>
        </w:rPr>
        <w:t>MJ</w:t>
      </w:r>
    </w:p>
    <w:p w:rsidR="00C50EF4" w:rsidRDefault="00C50EF4" w:rsidP="000430CD">
      <w:r>
        <w:rPr>
          <w:rFonts w:hint="eastAsia"/>
        </w:rPr>
        <w:t xml:space="preserve">　</w:t>
      </w:r>
      <w:r w:rsidR="0035257E">
        <w:rPr>
          <w:rFonts w:hint="eastAsia"/>
        </w:rPr>
        <w:t xml:space="preserve">　　　　</w:t>
      </w:r>
      <w:r>
        <w:rPr>
          <w:rFonts w:hint="eastAsia"/>
        </w:rPr>
        <w:t>増税延期をどう受け止めているか？「支持する</w:t>
      </w:r>
      <w:r>
        <w:rPr>
          <w:rFonts w:hint="eastAsia"/>
        </w:rPr>
        <w:t>55.1%</w:t>
      </w:r>
      <w:r>
        <w:rPr>
          <w:rFonts w:hint="eastAsia"/>
        </w:rPr>
        <w:t>」</w:t>
      </w:r>
    </w:p>
    <w:p w:rsidR="0035257E" w:rsidRDefault="0035257E" w:rsidP="00C50EF4">
      <w:pPr>
        <w:ind w:firstLineChars="500" w:firstLine="1050"/>
      </w:pPr>
      <w:r>
        <w:rPr>
          <w:rFonts w:hint="eastAsia"/>
        </w:rPr>
        <w:t>増税延期で今後の支出は変化するか？「変わらない</w:t>
      </w:r>
      <w:r>
        <w:rPr>
          <w:rFonts w:hint="eastAsia"/>
        </w:rPr>
        <w:t>81.7%</w:t>
      </w:r>
      <w:r>
        <w:rPr>
          <w:rFonts w:hint="eastAsia"/>
        </w:rPr>
        <w:t>」</w:t>
      </w:r>
    </w:p>
    <w:p w:rsidR="0035257E" w:rsidRDefault="0035257E" w:rsidP="00C50EF4">
      <w:pPr>
        <w:ind w:firstLineChars="100" w:firstLine="210"/>
      </w:pPr>
      <w:r>
        <w:rPr>
          <w:rFonts w:hint="eastAsia"/>
        </w:rPr>
        <w:t xml:space="preserve">　　　　　増税は遅かれ早かれある／将来への不安が増した</w:t>
      </w:r>
    </w:p>
    <w:p w:rsidR="0035257E" w:rsidRDefault="0035257E" w:rsidP="000430CD"/>
    <w:p w:rsidR="0035257E" w:rsidRDefault="0035257E" w:rsidP="000430CD">
      <w:r>
        <w:rPr>
          <w:rFonts w:hint="eastAsia"/>
        </w:rPr>
        <w:t>（２）言葉の軽さ</w:t>
      </w:r>
    </w:p>
    <w:p w:rsidR="0035257E" w:rsidRDefault="0035257E" w:rsidP="000430CD">
      <w:r>
        <w:rPr>
          <w:rFonts w:hint="eastAsia"/>
        </w:rPr>
        <w:t xml:space="preserve">　　　・</w:t>
      </w:r>
      <w:r>
        <w:rPr>
          <w:rFonts w:hint="eastAsia"/>
        </w:rPr>
        <w:t>H26/11</w:t>
      </w:r>
      <w:r>
        <w:rPr>
          <w:rFonts w:hint="eastAsia"/>
        </w:rPr>
        <w:t>記者会見</w:t>
      </w:r>
    </w:p>
    <w:p w:rsidR="0035257E" w:rsidRDefault="0035257E" w:rsidP="0035257E">
      <w:pPr>
        <w:ind w:leftChars="400" w:left="1050" w:hangingChars="100" w:hanging="210"/>
      </w:pPr>
      <w:r>
        <w:rPr>
          <w:rFonts w:hint="eastAsia"/>
        </w:rPr>
        <w:t>「</w:t>
      </w:r>
      <w:r w:rsidRPr="0035257E">
        <w:rPr>
          <w:rFonts w:hint="eastAsia"/>
        </w:rPr>
        <w:t>来年</w:t>
      </w:r>
      <w:r w:rsidRPr="0035257E">
        <w:rPr>
          <w:rFonts w:hint="eastAsia"/>
        </w:rPr>
        <w:t>10</w:t>
      </w:r>
      <w:r w:rsidRPr="0035257E">
        <w:rPr>
          <w:rFonts w:hint="eastAsia"/>
        </w:rPr>
        <w:t>月の引き上げを</w:t>
      </w:r>
      <w:r w:rsidRPr="0035257E">
        <w:rPr>
          <w:rFonts w:hint="eastAsia"/>
        </w:rPr>
        <w:t>18</w:t>
      </w:r>
      <w:r w:rsidRPr="0035257E">
        <w:rPr>
          <w:rFonts w:hint="eastAsia"/>
        </w:rPr>
        <w:t>カ月延期し、そして</w:t>
      </w:r>
      <w:r w:rsidRPr="0035257E">
        <w:rPr>
          <w:rFonts w:hint="eastAsia"/>
        </w:rPr>
        <w:t>18</w:t>
      </w:r>
      <w:r w:rsidRPr="0035257E">
        <w:rPr>
          <w:rFonts w:hint="eastAsia"/>
        </w:rPr>
        <w:t>カ月後、さらに延期するのではないかといった声があります。</w:t>
      </w:r>
      <w:r w:rsidRPr="006C0B43">
        <w:rPr>
          <w:rFonts w:asciiTheme="majorEastAsia" w:eastAsiaTheme="majorEastAsia" w:hAnsiTheme="majorEastAsia" w:hint="eastAsia"/>
        </w:rPr>
        <w:t>再び延期することはない。ここで皆さんにはっきりとそう断言いたします。</w:t>
      </w:r>
      <w:r w:rsidRPr="0035257E">
        <w:rPr>
          <w:rFonts w:hint="eastAsia"/>
        </w:rPr>
        <w:t>平成</w:t>
      </w:r>
      <w:r w:rsidRPr="0035257E">
        <w:rPr>
          <w:rFonts w:hint="eastAsia"/>
        </w:rPr>
        <w:t>29</w:t>
      </w:r>
      <w:r w:rsidRPr="0035257E">
        <w:rPr>
          <w:rFonts w:hint="eastAsia"/>
        </w:rPr>
        <w:t>年４月の引き上げについては、景気判断条項を付すことなく確実に実施いたします。３年間、３本の矢をさらに前に進めることにより、必ずやその経済状況をつくり出すことができる。私はそう決意しています</w:t>
      </w:r>
      <w:r>
        <w:rPr>
          <w:rFonts w:hint="eastAsia"/>
        </w:rPr>
        <w:t>」</w:t>
      </w:r>
      <w:r w:rsidRPr="0035257E">
        <w:rPr>
          <w:rFonts w:hint="eastAsia"/>
        </w:rPr>
        <w:t>。</w:t>
      </w:r>
    </w:p>
    <w:p w:rsidR="0035257E" w:rsidRDefault="0035257E" w:rsidP="000430CD">
      <w:r>
        <w:rPr>
          <w:rFonts w:hint="eastAsia"/>
        </w:rPr>
        <w:t xml:space="preserve">　　　・</w:t>
      </w:r>
      <w:r>
        <w:rPr>
          <w:rFonts w:hint="eastAsia"/>
        </w:rPr>
        <w:t>H28/6</w:t>
      </w:r>
      <w:r>
        <w:rPr>
          <w:rFonts w:hint="eastAsia"/>
        </w:rPr>
        <w:t>記者会見</w:t>
      </w:r>
    </w:p>
    <w:p w:rsidR="006C10ED" w:rsidRPr="00FC28D9" w:rsidRDefault="0035257E" w:rsidP="004739A7">
      <w:pPr>
        <w:ind w:left="1050" w:hangingChars="500" w:hanging="1050"/>
        <w:rPr>
          <w:szCs w:val="21"/>
          <w:shd w:val="clear" w:color="auto" w:fill="FFFFFF"/>
        </w:rPr>
      </w:pPr>
      <w:r>
        <w:rPr>
          <w:rFonts w:hint="eastAsia"/>
        </w:rPr>
        <w:t xml:space="preserve">　　　　「</w:t>
      </w:r>
      <w:r w:rsidR="006C10ED" w:rsidRPr="00FC28D9">
        <w:rPr>
          <w:rFonts w:hint="eastAsia"/>
          <w:szCs w:val="21"/>
          <w:shd w:val="clear" w:color="auto" w:fill="FFFFFF"/>
        </w:rPr>
        <w:t>私は、世界経済の将来を決して「悲観」しているわけではありません。しかし、「リスク」には備えなければならない。今そこにある「リスク」を正しく認識し、「危機」に陥ることを回避するため、しっかりと手を打つべきだと考えます。</w:t>
      </w:r>
    </w:p>
    <w:p w:rsidR="006C10ED" w:rsidRPr="00FC28D9" w:rsidRDefault="006C10ED" w:rsidP="004739A7">
      <w:pPr>
        <w:ind w:left="1050" w:hangingChars="500" w:hanging="1050"/>
        <w:rPr>
          <w:szCs w:val="21"/>
          <w:shd w:val="clear" w:color="auto" w:fill="FFFFFF"/>
        </w:rPr>
      </w:pPr>
      <w:r w:rsidRPr="00FC28D9">
        <w:rPr>
          <w:rFonts w:hint="eastAsia"/>
          <w:szCs w:val="21"/>
          <w:shd w:val="clear" w:color="auto" w:fill="FFFFFF"/>
        </w:rPr>
        <w:t xml:space="preserve">　　　　　・・（中略）・・</w:t>
      </w:r>
    </w:p>
    <w:p w:rsidR="0035257E" w:rsidRDefault="0035257E" w:rsidP="006C10ED">
      <w:pPr>
        <w:ind w:leftChars="500" w:left="1050"/>
      </w:pPr>
      <w:r w:rsidRPr="00FC28D9">
        <w:rPr>
          <w:rFonts w:hint="eastAsia"/>
          <w:szCs w:val="21"/>
          <w:shd w:val="clear" w:color="auto" w:fill="FFFFFF"/>
        </w:rPr>
        <w:t>「再延期する」という私の判断は、これまでのお約束とは異なる</w:t>
      </w:r>
      <w:r w:rsidRPr="00FC28D9">
        <w:rPr>
          <w:rFonts w:asciiTheme="majorEastAsia" w:eastAsiaTheme="majorEastAsia" w:hAnsiTheme="majorEastAsia" w:hint="eastAsia"/>
          <w:szCs w:val="21"/>
          <w:shd w:val="clear" w:color="auto" w:fill="FFFFFF"/>
        </w:rPr>
        <w:t>「新しい判断」</w:t>
      </w:r>
      <w:r w:rsidRPr="00FC28D9">
        <w:rPr>
          <w:rFonts w:hint="eastAsia"/>
          <w:szCs w:val="21"/>
          <w:shd w:val="clear" w:color="auto" w:fill="FFFFFF"/>
        </w:rPr>
        <w:t>であります</w:t>
      </w:r>
      <w:r w:rsidR="004739A7">
        <w:rPr>
          <w:rFonts w:hint="eastAsia"/>
          <w:color w:val="333333"/>
          <w:szCs w:val="21"/>
          <w:shd w:val="clear" w:color="auto" w:fill="FFFFFF"/>
        </w:rPr>
        <w:t>」</w:t>
      </w:r>
      <w:r w:rsidRPr="004739A7">
        <w:rPr>
          <w:rFonts w:hint="eastAsia"/>
          <w:color w:val="333333"/>
          <w:szCs w:val="21"/>
          <w:shd w:val="clear" w:color="auto" w:fill="FFFFFF"/>
        </w:rPr>
        <w:t>。</w:t>
      </w:r>
    </w:p>
    <w:p w:rsidR="006C10ED" w:rsidRPr="006C0B43" w:rsidRDefault="006C10ED" w:rsidP="000430CD"/>
    <w:p w:rsidR="000430CD" w:rsidRDefault="000430CD" w:rsidP="000430CD">
      <w:r>
        <w:rPr>
          <w:rFonts w:hint="eastAsia"/>
        </w:rPr>
        <w:t>（</w:t>
      </w:r>
      <w:r w:rsidR="006C10ED">
        <w:rPr>
          <w:rFonts w:hint="eastAsia"/>
        </w:rPr>
        <w:t>３</w:t>
      </w:r>
      <w:r>
        <w:rPr>
          <w:rFonts w:hint="eastAsia"/>
        </w:rPr>
        <w:t>）</w:t>
      </w:r>
      <w:r w:rsidR="006C10ED">
        <w:rPr>
          <w:rFonts w:hint="eastAsia"/>
        </w:rPr>
        <w:t>2</w:t>
      </w:r>
      <w:r w:rsidR="006C10ED">
        <w:rPr>
          <w:rFonts w:hint="eastAsia"/>
        </w:rPr>
        <w:t>年半後の予測</w:t>
      </w:r>
    </w:p>
    <w:p w:rsidR="00EF351C" w:rsidRDefault="000430CD" w:rsidP="000430CD">
      <w:r>
        <w:rPr>
          <w:rFonts w:hint="eastAsia"/>
        </w:rPr>
        <w:t xml:space="preserve">　　　・</w:t>
      </w:r>
      <w:r w:rsidR="006C10ED">
        <w:rPr>
          <w:rFonts w:hint="eastAsia"/>
        </w:rPr>
        <w:t>税率引き上げ：可能性</w:t>
      </w:r>
      <w:r w:rsidR="006C10ED">
        <w:rPr>
          <w:rFonts w:hint="eastAsia"/>
        </w:rPr>
        <w:t>10%</w:t>
      </w:r>
    </w:p>
    <w:p w:rsidR="006C10ED" w:rsidRDefault="006C10ED" w:rsidP="00CC4FE0">
      <w:pPr>
        <w:ind w:leftChars="100" w:left="840" w:hangingChars="300" w:hanging="630"/>
      </w:pPr>
      <w:r>
        <w:rPr>
          <w:rFonts w:hint="eastAsia"/>
        </w:rPr>
        <w:t xml:space="preserve">　　　</w:t>
      </w:r>
      <w:r w:rsidR="00CC4FE0">
        <w:rPr>
          <w:rFonts w:hint="eastAsia"/>
        </w:rPr>
        <w:t>ガバナンス意識の芽生え＝</w:t>
      </w:r>
      <w:r>
        <w:rPr>
          <w:rFonts w:hint="eastAsia"/>
        </w:rPr>
        <w:t>リスクに備えるのは平時。平時に出来ないことは、有事に出来ない。</w:t>
      </w:r>
    </w:p>
    <w:p w:rsidR="00C50EF4" w:rsidRDefault="00C50EF4" w:rsidP="001607CE">
      <w:pPr>
        <w:ind w:firstLineChars="100" w:firstLine="210"/>
      </w:pPr>
      <w:r>
        <w:rPr>
          <w:rFonts w:hint="eastAsia"/>
        </w:rPr>
        <w:t xml:space="preserve">　　　</w:t>
      </w:r>
      <w:r>
        <w:rPr>
          <w:rFonts w:hint="eastAsia"/>
        </w:rPr>
        <w:t>10%</w:t>
      </w:r>
      <w:r>
        <w:rPr>
          <w:rFonts w:hint="eastAsia"/>
        </w:rPr>
        <w:t>は「不安の蓄積」</w:t>
      </w:r>
      <w:r w:rsidR="006C0B43">
        <w:rPr>
          <w:rFonts w:hint="eastAsia"/>
        </w:rPr>
        <w:t>分。</w:t>
      </w:r>
    </w:p>
    <w:p w:rsidR="006C10ED" w:rsidRDefault="001607CE" w:rsidP="00EF351C">
      <w:pPr>
        <w:ind w:firstLineChars="300" w:firstLine="630"/>
      </w:pPr>
      <w:r>
        <w:rPr>
          <w:rFonts w:hint="eastAsia"/>
        </w:rPr>
        <w:t>・軽減税率：可能性</w:t>
      </w:r>
      <w:r>
        <w:rPr>
          <w:rFonts w:hint="eastAsia"/>
        </w:rPr>
        <w:t>0</w:t>
      </w:r>
    </w:p>
    <w:p w:rsidR="001607CE" w:rsidRDefault="001607CE" w:rsidP="001607CE">
      <w:pPr>
        <w:ind w:firstLineChars="400" w:firstLine="840"/>
      </w:pPr>
      <w:r>
        <w:rPr>
          <w:rFonts w:hint="eastAsia"/>
        </w:rPr>
        <w:t>もともと、逆進性緩和に大</w:t>
      </w:r>
      <w:r w:rsidR="00C50EF4">
        <w:rPr>
          <w:rFonts w:hint="eastAsia"/>
        </w:rPr>
        <w:t>きな</w:t>
      </w:r>
      <w:r>
        <w:rPr>
          <w:rFonts w:hint="eastAsia"/>
        </w:rPr>
        <w:t>効果なし</w:t>
      </w:r>
    </w:p>
    <w:p w:rsidR="001607CE" w:rsidRDefault="00C50EF4" w:rsidP="001607CE">
      <w:pPr>
        <w:ind w:firstLineChars="400" w:firstLine="840"/>
      </w:pPr>
      <w:r>
        <w:rPr>
          <w:rFonts w:hint="eastAsia"/>
        </w:rPr>
        <w:t>事務処理が異様に煩雑</w:t>
      </w:r>
    </w:p>
    <w:p w:rsidR="001607CE" w:rsidRDefault="00C50EF4" w:rsidP="001607CE">
      <w:pPr>
        <w:ind w:firstLineChars="400" w:firstLine="840"/>
      </w:pPr>
      <w:r>
        <w:rPr>
          <w:rFonts w:hint="eastAsia"/>
        </w:rPr>
        <w:lastRenderedPageBreak/>
        <w:t xml:space="preserve">　</w:t>
      </w:r>
      <w:r>
        <w:rPr>
          <w:rFonts w:hint="eastAsia"/>
        </w:rPr>
        <w:t>ex</w:t>
      </w:r>
      <w:r>
        <w:rPr>
          <w:rFonts w:hint="eastAsia"/>
        </w:rPr>
        <w:t>：ニジマス釣り</w:t>
      </w:r>
    </w:p>
    <w:p w:rsidR="00C50EF4" w:rsidRDefault="00C50EF4" w:rsidP="001607CE">
      <w:pPr>
        <w:ind w:firstLineChars="400" w:firstLine="840"/>
      </w:pPr>
      <w:r>
        <w:rPr>
          <w:rFonts w:hint="eastAsia"/>
        </w:rPr>
        <w:t xml:space="preserve">　　　　入場料　</w:t>
      </w:r>
      <w:r>
        <w:rPr>
          <w:rFonts w:hint="eastAsia"/>
        </w:rPr>
        <w:t>100</w:t>
      </w:r>
      <w:r>
        <w:rPr>
          <w:rFonts w:hint="eastAsia"/>
        </w:rPr>
        <w:t>円</w:t>
      </w:r>
    </w:p>
    <w:p w:rsidR="00C50EF4" w:rsidRDefault="00C50EF4" w:rsidP="001607CE">
      <w:pPr>
        <w:ind w:firstLineChars="400" w:firstLine="840"/>
      </w:pPr>
      <w:r>
        <w:rPr>
          <w:rFonts w:hint="eastAsia"/>
        </w:rPr>
        <w:t xml:space="preserve">　　　　釣ったマス</w:t>
      </w:r>
      <w:r>
        <w:rPr>
          <w:rFonts w:hint="eastAsia"/>
        </w:rPr>
        <w:t>10</w:t>
      </w:r>
      <w:r>
        <w:rPr>
          <w:rFonts w:hint="eastAsia"/>
        </w:rPr>
        <w:t xml:space="preserve">匹　</w:t>
      </w:r>
      <w:r>
        <w:rPr>
          <w:rFonts w:hint="eastAsia"/>
        </w:rPr>
        <w:t>2000</w:t>
      </w:r>
      <w:r>
        <w:rPr>
          <w:rFonts w:hint="eastAsia"/>
        </w:rPr>
        <w:t>円（重さ換算）</w:t>
      </w:r>
    </w:p>
    <w:p w:rsidR="00C50EF4" w:rsidRDefault="00C50EF4" w:rsidP="001607CE">
      <w:pPr>
        <w:ind w:firstLineChars="400" w:firstLine="840"/>
      </w:pPr>
      <w:r>
        <w:rPr>
          <w:rFonts w:hint="eastAsia"/>
        </w:rPr>
        <w:t xml:space="preserve">　　　　内</w:t>
      </w:r>
      <w:r>
        <w:rPr>
          <w:rFonts w:hint="eastAsia"/>
        </w:rPr>
        <w:t>2</w:t>
      </w:r>
      <w:r>
        <w:rPr>
          <w:rFonts w:hint="eastAsia"/>
        </w:rPr>
        <w:t>匹はその場で焼いてもら</w:t>
      </w:r>
      <w:r w:rsidR="00CC4FE0">
        <w:rPr>
          <w:rFonts w:hint="eastAsia"/>
        </w:rPr>
        <w:t>って食べ</w:t>
      </w:r>
      <w:r>
        <w:rPr>
          <w:rFonts w:hint="eastAsia"/>
        </w:rPr>
        <w:t>、</w:t>
      </w:r>
      <w:r>
        <w:rPr>
          <w:rFonts w:hint="eastAsia"/>
        </w:rPr>
        <w:t>8</w:t>
      </w:r>
      <w:r>
        <w:rPr>
          <w:rFonts w:hint="eastAsia"/>
        </w:rPr>
        <w:t>匹持ち帰り</w:t>
      </w:r>
    </w:p>
    <w:p w:rsidR="00C50EF4" w:rsidRDefault="00C50EF4" w:rsidP="001607CE">
      <w:pPr>
        <w:ind w:firstLineChars="400" w:firstLine="840"/>
      </w:pPr>
      <w:r>
        <w:rPr>
          <w:rFonts w:hint="eastAsia"/>
        </w:rPr>
        <w:t xml:space="preserve">　　　　焼き賃　</w:t>
      </w:r>
      <w:r>
        <w:rPr>
          <w:rFonts w:hint="eastAsia"/>
        </w:rPr>
        <w:t>200</w:t>
      </w:r>
      <w:r>
        <w:rPr>
          <w:rFonts w:hint="eastAsia"/>
        </w:rPr>
        <w:t>円</w:t>
      </w:r>
    </w:p>
    <w:p w:rsidR="006C10ED" w:rsidRPr="001607CE" w:rsidRDefault="006C10ED" w:rsidP="00EF351C">
      <w:pPr>
        <w:ind w:firstLineChars="300" w:firstLine="630"/>
      </w:pPr>
    </w:p>
    <w:p w:rsidR="001607CE" w:rsidRPr="00404790" w:rsidRDefault="001607CE" w:rsidP="001607CE">
      <w:pPr>
        <w:rPr>
          <w:b/>
          <w:u w:val="single"/>
        </w:rPr>
      </w:pPr>
      <w:r>
        <w:rPr>
          <w:rFonts w:hint="eastAsia"/>
          <w:b/>
          <w:u w:val="single"/>
        </w:rPr>
        <w:t>２</w:t>
      </w:r>
      <w:r w:rsidRPr="00404790">
        <w:rPr>
          <w:rFonts w:hint="eastAsia"/>
          <w:b/>
          <w:u w:val="single"/>
        </w:rPr>
        <w:t>．</w:t>
      </w:r>
      <w:r>
        <w:rPr>
          <w:rFonts w:hint="eastAsia"/>
          <w:b/>
          <w:u w:val="single"/>
        </w:rPr>
        <w:t>消費税の歴史</w:t>
      </w:r>
      <w:r w:rsidR="000A40A1">
        <w:rPr>
          <w:rFonts w:hint="eastAsia"/>
          <w:b/>
          <w:u w:val="single"/>
        </w:rPr>
        <w:t>に学ぶ</w:t>
      </w:r>
    </w:p>
    <w:p w:rsidR="001607CE" w:rsidRDefault="001607CE" w:rsidP="001607CE">
      <w:r>
        <w:rPr>
          <w:rFonts w:hint="eastAsia"/>
        </w:rPr>
        <w:t>（１）参考文献</w:t>
      </w:r>
    </w:p>
    <w:p w:rsidR="001607CE" w:rsidRDefault="001607CE" w:rsidP="00EF351C">
      <w:pPr>
        <w:ind w:firstLineChars="300" w:firstLine="630"/>
      </w:pPr>
      <w:r>
        <w:rPr>
          <w:rFonts w:hint="eastAsia"/>
        </w:rPr>
        <w:t>『税の攻防』（文藝春秋、岸宣仁さん、</w:t>
      </w:r>
      <w:r>
        <w:rPr>
          <w:rFonts w:hint="eastAsia"/>
        </w:rPr>
        <w:t>1998</w:t>
      </w:r>
      <w:r>
        <w:rPr>
          <w:rFonts w:hint="eastAsia"/>
        </w:rPr>
        <w:t>）</w:t>
      </w:r>
    </w:p>
    <w:p w:rsidR="001607CE" w:rsidRDefault="001607CE" w:rsidP="00EF351C">
      <w:pPr>
        <w:ind w:firstLineChars="300" w:firstLine="630"/>
      </w:pPr>
      <w:r>
        <w:rPr>
          <w:rFonts w:hint="eastAsia"/>
        </w:rPr>
        <w:t>『</w:t>
      </w:r>
      <w:r w:rsidR="002B66A8">
        <w:rPr>
          <w:rFonts w:hint="eastAsia"/>
        </w:rPr>
        <w:t>税制</w:t>
      </w:r>
      <w:r w:rsidR="002B66A8">
        <w:t>改正五十年－回顧と展望</w:t>
      </w:r>
      <w:r w:rsidR="002B66A8">
        <w:rPr>
          <w:rFonts w:hint="eastAsia"/>
        </w:rPr>
        <w:t>－</w:t>
      </w:r>
      <w:r w:rsidR="002B66A8">
        <w:t>』（</w:t>
      </w:r>
      <w:r w:rsidR="002B66A8">
        <w:rPr>
          <w:rFonts w:hint="eastAsia"/>
        </w:rPr>
        <w:t>大蔵</w:t>
      </w:r>
      <w:r w:rsidR="002B66A8">
        <w:t>財務協会、水</w:t>
      </w:r>
      <w:r w:rsidR="002B66A8">
        <w:rPr>
          <w:rFonts w:hint="eastAsia"/>
        </w:rPr>
        <w:t>野</w:t>
      </w:r>
      <w:r w:rsidR="002B66A8">
        <w:t>勝さん、</w:t>
      </w:r>
      <w:r w:rsidR="002B66A8">
        <w:t>2006</w:t>
      </w:r>
      <w:r w:rsidR="002B66A8">
        <w:t>）</w:t>
      </w:r>
    </w:p>
    <w:p w:rsidR="001607CE" w:rsidRDefault="002B66A8" w:rsidP="00EF351C">
      <w:pPr>
        <w:ind w:firstLineChars="300" w:firstLine="630"/>
      </w:pPr>
      <w:r>
        <w:rPr>
          <w:rFonts w:hint="eastAsia"/>
        </w:rPr>
        <w:t>『</w:t>
      </w:r>
      <w:r>
        <w:t xml:space="preserve">移行期的混乱　</w:t>
      </w:r>
      <w:r>
        <w:rPr>
          <w:rFonts w:hint="eastAsia"/>
        </w:rPr>
        <w:t>経済</w:t>
      </w:r>
      <w:r>
        <w:t>成長神話の終わり』（</w:t>
      </w:r>
      <w:r>
        <w:rPr>
          <w:rFonts w:hint="eastAsia"/>
        </w:rPr>
        <w:t>筑摩</w:t>
      </w:r>
      <w:r>
        <w:t>書房、平川克美さん、</w:t>
      </w:r>
      <w:r>
        <w:t>2010</w:t>
      </w:r>
      <w:r>
        <w:t>）</w:t>
      </w:r>
    </w:p>
    <w:p w:rsidR="00BD3C9F" w:rsidRPr="002B66A8" w:rsidRDefault="00BD3C9F" w:rsidP="00EF351C">
      <w:pPr>
        <w:ind w:firstLineChars="300" w:firstLine="630"/>
      </w:pPr>
      <w:r>
        <w:rPr>
          <w:rFonts w:hint="eastAsia"/>
        </w:rPr>
        <w:t>『「消費税の軽減税率」完全解説』（税研、太田達也さん、</w:t>
      </w:r>
      <w:r>
        <w:rPr>
          <w:rFonts w:hint="eastAsia"/>
        </w:rPr>
        <w:t>2016</w:t>
      </w:r>
      <w:r>
        <w:rPr>
          <w:rFonts w:hint="eastAsia"/>
        </w:rPr>
        <w:t>）</w:t>
      </w:r>
    </w:p>
    <w:p w:rsidR="001607CE" w:rsidRPr="002B66A8" w:rsidRDefault="001607CE" w:rsidP="00EF351C">
      <w:pPr>
        <w:ind w:firstLineChars="300" w:firstLine="630"/>
      </w:pPr>
    </w:p>
    <w:p w:rsidR="002B66A8" w:rsidRDefault="002B66A8" w:rsidP="002B66A8">
      <w:r>
        <w:rPr>
          <w:rFonts w:hint="eastAsia"/>
        </w:rPr>
        <w:t>（２）</w:t>
      </w:r>
      <w:r>
        <w:t>何に税をかけるか</w:t>
      </w:r>
    </w:p>
    <w:p w:rsidR="002B66A8" w:rsidRDefault="002B66A8" w:rsidP="002B66A8">
      <w:r>
        <w:rPr>
          <w:rFonts w:hint="eastAsia"/>
        </w:rPr>
        <w:t xml:space="preserve">　</w:t>
      </w:r>
      <w:r>
        <w:t xml:space="preserve">　　・所得</w:t>
      </w:r>
    </w:p>
    <w:p w:rsidR="002B66A8" w:rsidRDefault="002B66A8" w:rsidP="002B66A8">
      <w:r>
        <w:rPr>
          <w:rFonts w:hint="eastAsia"/>
        </w:rPr>
        <w:t xml:space="preserve">　</w:t>
      </w:r>
      <w:r>
        <w:t xml:space="preserve">　　・資産</w:t>
      </w:r>
    </w:p>
    <w:p w:rsidR="002B66A8" w:rsidRPr="002B66A8" w:rsidRDefault="002B66A8" w:rsidP="002B66A8">
      <w:r>
        <w:rPr>
          <w:rFonts w:hint="eastAsia"/>
        </w:rPr>
        <w:t xml:space="preserve">　</w:t>
      </w:r>
      <w:r>
        <w:t xml:space="preserve">　　・消費</w:t>
      </w:r>
    </w:p>
    <w:p w:rsidR="002B66A8" w:rsidRDefault="002B66A8" w:rsidP="00EF351C">
      <w:pPr>
        <w:ind w:firstLineChars="300" w:firstLine="630"/>
      </w:pPr>
    </w:p>
    <w:p w:rsidR="001607CE" w:rsidRDefault="002B66A8" w:rsidP="002B66A8">
      <w:r>
        <w:rPr>
          <w:rFonts w:hint="eastAsia"/>
        </w:rPr>
        <w:t>（３）成長率の推移</w:t>
      </w:r>
      <w:r w:rsidR="00265DD2">
        <w:rPr>
          <w:rFonts w:hint="eastAsia"/>
        </w:rPr>
        <w:t>と</w:t>
      </w:r>
      <w:r w:rsidR="00265DD2">
        <w:t>社会構造の変化</w:t>
      </w:r>
    </w:p>
    <w:p w:rsidR="003C111D" w:rsidRPr="00265DD2" w:rsidRDefault="003C111D" w:rsidP="00EF351C">
      <w:pPr>
        <w:ind w:firstLineChars="300" w:firstLine="630"/>
      </w:pPr>
    </w:p>
    <w:p w:rsidR="003C111D" w:rsidRDefault="006C0B43" w:rsidP="00EF351C">
      <w:pPr>
        <w:ind w:firstLineChars="300" w:firstLine="630"/>
      </w:pPr>
      <w:r>
        <w:rPr>
          <w:noProof/>
        </w:rPr>
        <mc:AlternateContent>
          <mc:Choice Requires="wps">
            <w:drawing>
              <wp:anchor distT="0" distB="0" distL="114300" distR="114300" simplePos="0" relativeHeight="251661312" behindDoc="0" locked="0" layoutInCell="1" allowOverlap="1" wp14:anchorId="4E06562F" wp14:editId="6425223D">
                <wp:simplePos x="0" y="0"/>
                <wp:positionH relativeFrom="column">
                  <wp:posOffset>3663315</wp:posOffset>
                </wp:positionH>
                <wp:positionV relativeFrom="paragraph">
                  <wp:posOffset>1559560</wp:posOffset>
                </wp:positionV>
                <wp:extent cx="1955800" cy="0"/>
                <wp:effectExtent l="0" t="0" r="25400" b="19050"/>
                <wp:wrapNone/>
                <wp:docPr id="4" name="直線コネクタ 4"/>
                <wp:cNvGraphicFramePr/>
                <a:graphic xmlns:a="http://schemas.openxmlformats.org/drawingml/2006/main">
                  <a:graphicData uri="http://schemas.microsoft.com/office/word/2010/wordprocessingShape">
                    <wps:wsp>
                      <wps:cNvCnPr/>
                      <wps:spPr>
                        <a:xfrm flipV="1">
                          <a:off x="0" y="0"/>
                          <a:ext cx="195580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224E0" id="直線コネクタ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45pt,122.8pt" to="442.45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0a3wEAAN4DAAAOAAAAZHJzL2Uyb0RvYy54bWysU81uEzEQviP1HSzfm91EDSqrbHpo1V4Q&#10;RPzdXe84a8l/sk12cw1nXgAeggNIHHmYHPoajL3bpQIkBOJi2TPzfTPfzHh10WtFduCDtKam81lJ&#10;CRhuG2m2NX396vr0nJIQmWmYsgZquodAL9Ynj1adq2BhW6sa8ARJTKg6V9M2RlcVReAtaBZm1oFB&#10;p7Bes4hPvy0azzpk16pYlOXjorO+cd5yCAGtV4OTrjO/EMDjcyECRKJqirXFfPp83qazWK9YtfXM&#10;tZKPZbB/qEIzaTDpRHXFIiNvvfyFSkvubbAizrjVhRVCcsgaUM28/EnNy5Y5yFqwOcFNbQr/j5Y/&#10;2208kU1NzygxTOOI7j5+ufv64Xj4fHz3/nj4dDx8I2epT50LFYZfmo0fX8FtfBLdC6+JUNK9wRXI&#10;bUBhpM9d3k9dhj4Sjsb5k+XyvMRh8HtfMVAkKudDvAGrSbrUVEmTGsAqtnsaIqbF0PuQZFaGdImx&#10;XOZRFqnGoap8i3sFQ9gLEKgyZc90eb/gUnmyY7gZjHMwcZFUYgJlMDrBhFRqApZ/Bo7xCQp59/4G&#10;PCFyZmviBNbSWP+77LGfjyWLIR7Lf6A7XW9ts8/zyg5coqxwXPi0pQ/fGf7jW66/AwAA//8DAFBL&#10;AwQUAAYACAAAACEAHP88DOIAAAALAQAADwAAAGRycy9kb3ducmV2LnhtbEyPwUrDQBCG74LvsIzg&#10;RdpNShNjzKaIUBR6UNOIHqfZNRvN7obsto0+vSMIepx/Pv75plhNpmcHNfrOWQHxPAKmbONkZ1sB&#10;9XY9y4D5gFZi76wS8Kk8rMrTkwJz6Y72SR2q0DIqsT5HATqEIefcN1oZ9HM3KEu7NzcaDDSOLZcj&#10;Hqnc9HwRRSk32Fm6oHFQt1o1H9XeCHipq+eHevP6fqeH5OIr3qzv8TEW4vxsurkGFtQU/mD40Sd1&#10;KMlp5/ZWetYLSC7TK0IFLJZJCoyILFtSsvtNeFnw/z+U3wAAAP//AwBQSwECLQAUAAYACAAAACEA&#10;toM4kv4AAADhAQAAEwAAAAAAAAAAAAAAAAAAAAAAW0NvbnRlbnRfVHlwZXNdLnhtbFBLAQItABQA&#10;BgAIAAAAIQA4/SH/1gAAAJQBAAALAAAAAAAAAAAAAAAAAC8BAABfcmVscy8ucmVsc1BLAQItABQA&#10;BgAIAAAAIQAkww0a3wEAAN4DAAAOAAAAAAAAAAAAAAAAAC4CAABkcnMvZTJvRG9jLnhtbFBLAQIt&#10;ABQABgAIAAAAIQAc/zwM4gAAAAsBAAAPAAAAAAAAAAAAAAAAADkEAABkcnMvZG93bnJldi54bWxQ&#10;SwUGAAAAAAQABADzAAAASAUAAAAA&#10;" strokecolor="#bc4542 [3045]" strokeweight="1.5pt"/>
            </w:pict>
          </mc:Fallback>
        </mc:AlternateContent>
      </w:r>
      <w:r w:rsidR="002B66A8">
        <w:rPr>
          <w:noProof/>
        </w:rPr>
        <mc:AlternateContent>
          <mc:Choice Requires="wps">
            <w:drawing>
              <wp:anchor distT="0" distB="0" distL="114300" distR="114300" simplePos="0" relativeHeight="251665408" behindDoc="0" locked="0" layoutInCell="1" allowOverlap="1" wp14:anchorId="2375FF55" wp14:editId="00D12DE2">
                <wp:simplePos x="0" y="0"/>
                <wp:positionH relativeFrom="column">
                  <wp:posOffset>2406015</wp:posOffset>
                </wp:positionH>
                <wp:positionV relativeFrom="paragraph">
                  <wp:posOffset>549910</wp:posOffset>
                </wp:positionV>
                <wp:extent cx="1092200" cy="311150"/>
                <wp:effectExtent l="514350" t="0" r="12700" b="50800"/>
                <wp:wrapNone/>
                <wp:docPr id="5" name="線吹き出し 2 (枠付き) 5"/>
                <wp:cNvGraphicFramePr/>
                <a:graphic xmlns:a="http://schemas.openxmlformats.org/drawingml/2006/main">
                  <a:graphicData uri="http://schemas.microsoft.com/office/word/2010/wordprocessingShape">
                    <wps:wsp>
                      <wps:cNvSpPr/>
                      <wps:spPr>
                        <a:xfrm>
                          <a:off x="0" y="0"/>
                          <a:ext cx="1092200" cy="311150"/>
                        </a:xfrm>
                        <a:prstGeom prst="borderCallout2">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16648" w:rsidRPr="002B66A8" w:rsidRDefault="00F16648" w:rsidP="002B66A8">
                            <w:pPr>
                              <w:jc w:val="center"/>
                              <w:rPr>
                                <w:sz w:val="18"/>
                                <w:szCs w:val="18"/>
                              </w:rPr>
                            </w:pPr>
                            <w:r>
                              <w:rPr>
                                <w:rFonts w:hint="eastAsia"/>
                                <w:sz w:val="18"/>
                                <w:szCs w:val="18"/>
                              </w:rPr>
                              <w:t>56-73</w:t>
                            </w:r>
                            <w:r>
                              <w:rPr>
                                <w:sz w:val="18"/>
                                <w:szCs w:val="18"/>
                              </w:rPr>
                              <w:t>平均</w:t>
                            </w:r>
                            <w:r>
                              <w:rPr>
                                <w:sz w:val="18"/>
                                <w:szCs w:val="18"/>
                              </w:rPr>
                              <w:t>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5FF5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 o:spid="_x0000_s1026" type="#_x0000_t48" style="position:absolute;left:0;text-align:left;margin-left:189.45pt;margin-top:43.3pt;width:86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9VwAIAAIQFAAAOAAAAZHJzL2Uyb0RvYy54bWysVM1uEzEQviPxDpZPcKCbDU2hUTdVlKoI&#10;qWorWtSz47WbFV6PsZ3shltPnJC4gTgg3gIBj1MKr8HYu9mmpSfEZddjz983883s7NalIgthXQE6&#10;o+lGjxKhOeSFPs/oy9P9R08pcZ7pnCnQIqNL4eju6P69ncoMRR9moHJhCTrRbliZjM68N8MkcXwm&#10;SuY2wAiNjxJsyTyK9jzJLavQe6mSfq+3lVRgc2OBC+fwdq95pKPoX0rB/ZGUTniiMoq5+fi18TsN&#10;32S0w4bnlplZwds02D9kUbJCY9DO1R7zjMxt8ZersuAWHEi/waFMQMqCi4gB0aS9W2hOZsyIiAWL&#10;40xXJvf/3PLDxbElRZ7RASWaldii318/Xb3/dnnx7urt98uLD6RPHvz6/OXnj4949ZAMQskq44Zo&#10;eWKObSs5PAb8tbRl+CMyUscyL7syi9oTjpdpb7uPvaOE49vjNE0HsQ/JtbWxzj8TUJJwyOgUeyzs&#10;hCkFc9+PdWaLA+cxNhqtlENYpUmV0a3H6DGIDlSR7xdKRSFwSkyUJQuGbPB1GqCggzUtlJTGywCw&#10;gRRPfqlE4/6FkFgtBNGkEXl67ZNxLrTfav0qjdrBTGIGnWHaZHYzGeVXybS6wUxE/naGLaSbhjcj&#10;dhYxKmjfGZeFBntX5PxVF7nRX6FvMAf4vp7WbZunkC+RLxaaQXKG7xfYogPm/DGzODnYVdwG/gg/&#10;UgH2AtoTJTOwb+66D/pIaHylpMJJzKh7PWdWUKKea6T6drq5GUY3CpuDJ30U7PrLdP1Fz8sJYHtT&#10;3DuGx2PQ92p1lBbKMyTUOETFJ6Y5xs4o93YlTHyzIXDtcDEeRzUcV8P8gT4xPDgPBQ7EO63PmDUt&#10;Tz0y/BBWU8uGt0ja6AZLDeO5B1lEBocSN3VtS4+jHnnZrqWwS9blqHW9PEd/AAAA//8DAFBLAwQU&#10;AAYACAAAACEAhENIzuAAAAAKAQAADwAAAGRycy9kb3ducmV2LnhtbEyPwU6DQBCG7ya+w2ZMvBi7&#10;QAURWRpjNOmlMVLjeQtTIGVnCbtQ9OkdT3qcmS//fH++WUwvZhxdZ0lBuApAIFW27qhR8LF/vU1B&#10;OK+p1r0lVPCFDjbF5UWus9qe6R3n0jeCQ8hlWkHr/ZBJ6aoWjXYrOyDx7WhHoz2PYyPrUZ853PQy&#10;CoJEGt0Rf2j1gM8tVqdyMgq20d3+5jjt3r5PpQ9fwjnaftpIqeur5ekRhMfF/8Hwq8/qULDTwU5U&#10;O9ErWN+nD4wqSJMEBANxHPDiwOQ6TkAWufxfofgBAAD//wMAUEsBAi0AFAAGAAgAAAAhALaDOJL+&#10;AAAA4QEAABMAAAAAAAAAAAAAAAAAAAAAAFtDb250ZW50X1R5cGVzXS54bWxQSwECLQAUAAYACAAA&#10;ACEAOP0h/9YAAACUAQAACwAAAAAAAAAAAAAAAAAvAQAAX3JlbHMvLnJlbHNQSwECLQAUAAYACAAA&#10;ACEAVFm/VcACAACEBQAADgAAAAAAAAAAAAAAAAAuAgAAZHJzL2Uyb0RvYy54bWxQSwECLQAUAAYA&#10;CAAAACEAhENIzuAAAAAKAQAADwAAAAAAAAAAAAAAAAAaBQAAZHJzL2Rvd25yZXYueG1sUEsFBgAA&#10;AAAEAAQA8wAAACcGAAAAAA==&#10;" fillcolor="white [3201]" strokecolor="black [3213]" strokeweight=".5pt">
                <v:textbox>
                  <w:txbxContent>
                    <w:p w:rsidR="00F16648" w:rsidRPr="002B66A8" w:rsidRDefault="00F16648" w:rsidP="002B66A8">
                      <w:pPr>
                        <w:jc w:val="center"/>
                        <w:rPr>
                          <w:sz w:val="18"/>
                          <w:szCs w:val="18"/>
                        </w:rPr>
                      </w:pPr>
                      <w:r>
                        <w:rPr>
                          <w:rFonts w:hint="eastAsia"/>
                          <w:sz w:val="18"/>
                          <w:szCs w:val="18"/>
                        </w:rPr>
                        <w:t>56-73</w:t>
                      </w:r>
                      <w:r>
                        <w:rPr>
                          <w:sz w:val="18"/>
                          <w:szCs w:val="18"/>
                        </w:rPr>
                        <w:t>平均</w:t>
                      </w:r>
                      <w:r>
                        <w:rPr>
                          <w:sz w:val="18"/>
                          <w:szCs w:val="18"/>
                        </w:rPr>
                        <w:t>9.1%</w:t>
                      </w:r>
                    </w:p>
                  </w:txbxContent>
                </v:textbox>
                <o:callout v:ext="edit" minusy="t"/>
              </v:shape>
            </w:pict>
          </mc:Fallback>
        </mc:AlternateContent>
      </w:r>
      <w:r w:rsidR="002B66A8">
        <w:rPr>
          <w:noProof/>
        </w:rPr>
        <mc:AlternateContent>
          <mc:Choice Requires="wps">
            <w:drawing>
              <wp:anchor distT="0" distB="0" distL="114300" distR="114300" simplePos="0" relativeHeight="251656192" behindDoc="0" locked="0" layoutInCell="1" allowOverlap="1" wp14:anchorId="2BBB1DA8" wp14:editId="446D6DB4">
                <wp:simplePos x="0" y="0"/>
                <wp:positionH relativeFrom="column">
                  <wp:posOffset>2317115</wp:posOffset>
                </wp:positionH>
                <wp:positionV relativeFrom="paragraph">
                  <wp:posOffset>1273810</wp:posOffset>
                </wp:positionV>
                <wp:extent cx="1250950" cy="0"/>
                <wp:effectExtent l="0" t="0" r="25400" b="19050"/>
                <wp:wrapNone/>
                <wp:docPr id="3" name="直線コネクタ 3"/>
                <wp:cNvGraphicFramePr/>
                <a:graphic xmlns:a="http://schemas.openxmlformats.org/drawingml/2006/main">
                  <a:graphicData uri="http://schemas.microsoft.com/office/word/2010/wordprocessingShape">
                    <wps:wsp>
                      <wps:cNvCnPr/>
                      <wps:spPr>
                        <a:xfrm>
                          <a:off x="0" y="0"/>
                          <a:ext cx="125095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D8D39" id="直線コネクタ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45pt,100.3pt" to="280.95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Ma1wEAANQDAAAOAAAAZHJzL2Uyb0RvYy54bWysU81u1DAQviPxDpbvbLJbFdFosz20ai8I&#10;Vvw8gOuMN5b8J9vdZK/LmReAh+AAEsc+zB76GoydbIoACYF6cWzPfN/M93myPO+1IlvwQVpT0/ms&#10;pAQMt400m5q+f3f17AUlITLTMGUN1HQHgZ6vnj5Zdq6ChW2tasATJDGh6lxN2xhdVRSBt6BZmFkH&#10;BoPCes0iHv2maDzrkF2rYlGWz4vO+sZ5yyEEvL0cgnSV+YUAHl8LESASVVPsLebV5/UmrcVqyaqN&#10;Z66VfGyD/UcXmkmDRSeqSxYZufXyNyotubfBijjjVhdWCMkha0A18/IXNW9b5iBrQXOCm2wKj0fL&#10;X23XnsimpieUGKbxie4/f7v//umw/3r48PGw/3LY35GT5FPnQoXpF2btx1Nwa59E98Lr9EU5pM/e&#10;7iZvoY+E4+V8cVqeneIT8GOseAA6H+I1WE3SpqZKmiSbVWz7MkQshqnHlHStDOmQ8axEvhRNnQ29&#10;5F3cKRjS3oBAbal6pstTBRfKky3DeWCcg4mLTJFIMTvBhFRqApZ/B475CQp54v4FPCFyZWviBNbS&#10;WP+n6rGfjy2LIf/owKA7WXBjm11+pWwNjk62cBzzNJs/nzP84Wdc/QAAAP//AwBQSwMEFAAGAAgA&#10;AAAhAKMezz3dAAAACwEAAA8AAABkcnMvZG93bnJldi54bWxMj8tOwzAQRfdI/IM1SGwQdQI0bUOc&#10;CiHogk3V0A9w48lDxOModtLw90wlJFjOnaP7yLaz7cSEg28dKYgXEQik0pmWagXHz/f7NQgfNBnd&#10;OUIF3+hhm19fZTo17kwHnIpQCzYhn2oFTQh9KqUvG7TaL1yPxL/KDVYHPodamkGf2dx28iGKEml1&#10;S5zQ6B5fGyy/itEqKHZvezlW5mMX7qayWsaTXCWVUrc388sziIBz+IPhUp+rQ86dTm4k40Wn4DF5&#10;2jCq4BIDgollErNy+lVknsn/G/IfAAAA//8DAFBLAQItABQABgAIAAAAIQC2gziS/gAAAOEBAAAT&#10;AAAAAAAAAAAAAAAAAAAAAABbQ29udGVudF9UeXBlc10ueG1sUEsBAi0AFAAGAAgAAAAhADj9If/W&#10;AAAAlAEAAAsAAAAAAAAAAAAAAAAALwEAAF9yZWxzLy5yZWxzUEsBAi0AFAAGAAgAAAAhAMI1ExrX&#10;AQAA1AMAAA4AAAAAAAAAAAAAAAAALgIAAGRycy9lMm9Eb2MueG1sUEsBAi0AFAAGAAgAAAAhAKMe&#10;zz3dAAAACwEAAA8AAAAAAAAAAAAAAAAAMQQAAGRycy9kb3ducmV2LnhtbFBLBQYAAAAABAAEAPMA&#10;AAA7BQAAAAA=&#10;" strokecolor="#bc4542 [3045]" strokeweight="1.5pt"/>
            </w:pict>
          </mc:Fallback>
        </mc:AlternateContent>
      </w:r>
      <w:r w:rsidR="002B66A8">
        <w:rPr>
          <w:noProof/>
        </w:rPr>
        <mc:AlternateContent>
          <mc:Choice Requires="wps">
            <w:drawing>
              <wp:anchor distT="0" distB="0" distL="114300" distR="114300" simplePos="0" relativeHeight="251653120" behindDoc="0" locked="0" layoutInCell="1" allowOverlap="1" wp14:anchorId="35166AA8" wp14:editId="380687D2">
                <wp:simplePos x="0" y="0"/>
                <wp:positionH relativeFrom="column">
                  <wp:posOffset>856615</wp:posOffset>
                </wp:positionH>
                <wp:positionV relativeFrom="paragraph">
                  <wp:posOffset>886460</wp:posOffset>
                </wp:positionV>
                <wp:extent cx="1327150" cy="0"/>
                <wp:effectExtent l="0" t="0" r="25400" b="19050"/>
                <wp:wrapNone/>
                <wp:docPr id="2" name="直線コネクタ 2"/>
                <wp:cNvGraphicFramePr/>
                <a:graphic xmlns:a="http://schemas.openxmlformats.org/drawingml/2006/main">
                  <a:graphicData uri="http://schemas.microsoft.com/office/word/2010/wordprocessingShape">
                    <wps:wsp>
                      <wps:cNvCnPr/>
                      <wps:spPr>
                        <a:xfrm flipV="1">
                          <a:off x="0" y="0"/>
                          <a:ext cx="132715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0C27CCC1" id="直線コネクタ 2" o:spid="_x0000_s1026" style="position:absolute;left:0;text-align:left;flip:y;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45pt,69.8pt" to="171.9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bo3gEAAN4DAAAOAAAAZHJzL2Uyb0RvYy54bWysU0uOEzEQ3SNxB8t70h/EZ1rpzGJGsEEQ&#10;8dt73OW0Jf9km3RnG9ZcAA7BgpFYcpgs5hpTdicNAiQEYmPZrnqv6j2Xl+ejVmQLPkhrWlotSkrA&#10;cNtJs2npm9dP7j2mJERmOqasgZbuINDz1d07y8E1UNveqg48QRITmsG1tI/RNUUReA+ahYV1YDAo&#10;rNcs4tFvis6zAdm1KuqyfFgM1nfOWw4h4O3lFKSrzC8E8PhCiACRqJZibzGvPq9XaS1WS9ZsPHO9&#10;5Mc22D90oZk0WHSmumSRkXde/kKlJfc2WBEX3OrCCiE5ZA2opip/UvOqZw6yFjQnuNmm8P9o+fPt&#10;2hPZtbSmxDCNT3Tz6frm68fD/svh/YfD/vNh/43UyafBhQbTL8zaH0/BrX0SPQqviVDSvcURyDag&#10;MDJml3ezyzBGwvGyul8/qh7gY/BTrJgoEpXzIT4Fq0natFRJkwxgDds+CxHLYuopJV0rQwZkPCuR&#10;L0VTj1NXeRd3Cqa0lyBQZaqe6fJ8wYXyZMtwMhjnYGJWiQWUwewEE1KpGVj+GXjMT1DIs/c34BmR&#10;K1sTZ7CWxvrfVY9jlVVjp1P+yYFJd7Lgyna7/F7ZGhyibOFx4NOU/njO8O/fcnULAAD//wMAUEsD&#10;BBQABgAIAAAAIQD2nXRQ4AAAAAsBAAAPAAAAZHJzL2Rvd25yZXYueG1sTI9BS8NAEIXvgv9hGcGL&#10;tJuYWmzMpohQFHpQ04get9kxiWZnQ3bbRn+9UxD0Nu/N48032XK0ndjj4FtHCuJpBAKpcqalWkG5&#10;WU2uQfigyejOESr4Qg/L/PQk06lxB3rGfRFqwSXkU62gCaFPpfRVg1b7qeuRePfuBqsDy6GWZtAH&#10;LredvIyiubS6Jb7Q6B7vGqw+i51V8FoWL4/l+u3jvumvLr7j9epBP8VKnZ+NtzcgAo7hLwxHfEaH&#10;nJm2bkfGi451Mltw9Dgs5iA4kcwSdra/jswz+f+H/AcAAP//AwBQSwECLQAUAAYACAAAACEAtoM4&#10;kv4AAADhAQAAEwAAAAAAAAAAAAAAAAAAAAAAW0NvbnRlbnRfVHlwZXNdLnhtbFBLAQItABQABgAI&#10;AAAAIQA4/SH/1gAAAJQBAAALAAAAAAAAAAAAAAAAAC8BAABfcmVscy8ucmVsc1BLAQItABQABgAI&#10;AAAAIQCMj1bo3gEAAN4DAAAOAAAAAAAAAAAAAAAAAC4CAABkcnMvZTJvRG9jLnhtbFBLAQItABQA&#10;BgAIAAAAIQD2nXRQ4AAAAAsBAAAPAAAAAAAAAAAAAAAAADgEAABkcnMvZG93bnJldi54bWxQSwUG&#10;AAAAAAQABADzAAAARQUAAAAA&#10;" strokecolor="#bc4542 [3045]" strokeweight="1.5pt"/>
            </w:pict>
          </mc:Fallback>
        </mc:AlternateContent>
      </w:r>
      <w:r w:rsidR="003C111D" w:rsidRPr="00DD2A5B">
        <w:rPr>
          <w:noProof/>
          <w:sz w:val="18"/>
          <w:szCs w:val="18"/>
        </w:rPr>
        <w:drawing>
          <wp:inline distT="0" distB="0" distL="0" distR="0" wp14:anchorId="6D95667E" wp14:editId="1789DC7F">
            <wp:extent cx="5400040" cy="2273300"/>
            <wp:effectExtent l="0" t="0" r="10160" b="1270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607CE" w:rsidRDefault="008C7014" w:rsidP="008C7014">
      <w:pPr>
        <w:ind w:firstLineChars="300" w:firstLine="630"/>
        <w:jc w:val="right"/>
      </w:pPr>
      <w:r>
        <w:rPr>
          <w:rFonts w:hint="eastAsia"/>
        </w:rPr>
        <w:t>（社会実績データ図録より）</w:t>
      </w:r>
    </w:p>
    <w:p w:rsidR="008C7014" w:rsidRDefault="008C7014" w:rsidP="00EF351C">
      <w:pPr>
        <w:ind w:firstLineChars="300" w:firstLine="630"/>
      </w:pPr>
    </w:p>
    <w:p w:rsidR="006C10ED" w:rsidRDefault="002B66A8" w:rsidP="002B66A8">
      <w:r>
        <w:rPr>
          <w:rFonts w:hint="eastAsia"/>
        </w:rPr>
        <w:t>（４）</w:t>
      </w:r>
      <w:r w:rsidR="00DD2A5B">
        <w:rPr>
          <w:rFonts w:hint="eastAsia"/>
        </w:rPr>
        <w:t>具体的な流れ</w:t>
      </w:r>
    </w:p>
    <w:p w:rsidR="00DD2A5B" w:rsidRDefault="00DD2A5B" w:rsidP="002B66A8">
      <w:r>
        <w:rPr>
          <w:rFonts w:hint="eastAsia"/>
        </w:rPr>
        <w:t xml:space="preserve">　　　・年表にて</w:t>
      </w:r>
    </w:p>
    <w:p w:rsidR="002B66A8" w:rsidRDefault="002B66A8" w:rsidP="00EF351C">
      <w:pPr>
        <w:ind w:firstLineChars="300" w:firstLine="630"/>
      </w:pPr>
    </w:p>
    <w:p w:rsidR="002B66A8" w:rsidRDefault="002B66A8" w:rsidP="00EF351C">
      <w:pPr>
        <w:ind w:firstLineChars="300" w:firstLine="630"/>
      </w:pPr>
    </w:p>
    <w:p w:rsidR="002B66A8" w:rsidRDefault="002B66A8" w:rsidP="00EF351C">
      <w:pPr>
        <w:ind w:firstLineChars="300" w:firstLine="630"/>
      </w:pPr>
    </w:p>
    <w:p w:rsidR="000A40A1" w:rsidRPr="00404790" w:rsidRDefault="000A40A1" w:rsidP="000A40A1">
      <w:pPr>
        <w:rPr>
          <w:b/>
          <w:u w:val="single"/>
        </w:rPr>
      </w:pPr>
      <w:r>
        <w:rPr>
          <w:rFonts w:hint="eastAsia"/>
          <w:b/>
          <w:u w:val="single"/>
        </w:rPr>
        <w:lastRenderedPageBreak/>
        <w:t>３</w:t>
      </w:r>
      <w:r w:rsidRPr="00404790">
        <w:rPr>
          <w:rFonts w:hint="eastAsia"/>
          <w:b/>
          <w:u w:val="single"/>
        </w:rPr>
        <w:t>．</w:t>
      </w:r>
      <w:r>
        <w:rPr>
          <w:rFonts w:hint="eastAsia"/>
          <w:b/>
          <w:u w:val="single"/>
        </w:rPr>
        <w:t>人</w:t>
      </w:r>
      <w:r w:rsidR="006C0B43">
        <w:rPr>
          <w:rFonts w:hint="eastAsia"/>
          <w:b/>
          <w:u w:val="single"/>
        </w:rPr>
        <w:t>の</w:t>
      </w:r>
      <w:r>
        <w:rPr>
          <w:rFonts w:hint="eastAsia"/>
          <w:b/>
          <w:u w:val="single"/>
        </w:rPr>
        <w:t>失敗に学ぶ</w:t>
      </w:r>
    </w:p>
    <w:p w:rsidR="002B66A8" w:rsidRDefault="000A40A1" w:rsidP="000A40A1">
      <w:r>
        <w:rPr>
          <w:rFonts w:hint="eastAsia"/>
        </w:rPr>
        <w:t>（１）税理士職業賠償責任保険</w:t>
      </w:r>
    </w:p>
    <w:p w:rsidR="000A40A1" w:rsidRDefault="000A40A1" w:rsidP="000A40A1">
      <w:pPr>
        <w:ind w:firstLineChars="300" w:firstLine="630"/>
      </w:pPr>
      <w:r>
        <w:rPr>
          <w:rFonts w:hint="eastAsia"/>
        </w:rPr>
        <w:t>・</w:t>
      </w:r>
      <w:r>
        <w:rPr>
          <w:rFonts w:hint="eastAsia"/>
        </w:rPr>
        <w:t>2014</w:t>
      </w:r>
      <w:r>
        <w:rPr>
          <w:rFonts w:hint="eastAsia"/>
        </w:rPr>
        <w:t>年度税目別支払件数</w:t>
      </w:r>
    </w:p>
    <w:p w:rsidR="000A40A1" w:rsidRDefault="000A40A1" w:rsidP="000A40A1">
      <w:pPr>
        <w:ind w:firstLineChars="300" w:firstLine="630"/>
      </w:pPr>
      <w:r>
        <w:rPr>
          <w:rFonts w:hint="eastAsia"/>
        </w:rPr>
        <w:t xml:space="preserve">　　消費税：</w:t>
      </w:r>
      <w:r>
        <w:rPr>
          <w:rFonts w:hint="eastAsia"/>
        </w:rPr>
        <w:t>135</w:t>
      </w:r>
      <w:r>
        <w:rPr>
          <w:rFonts w:hint="eastAsia"/>
        </w:rPr>
        <w:t>件、</w:t>
      </w:r>
      <w:r>
        <w:rPr>
          <w:rFonts w:hint="eastAsia"/>
        </w:rPr>
        <w:t>41.2%</w:t>
      </w:r>
    </w:p>
    <w:p w:rsidR="000A40A1" w:rsidRDefault="000A40A1" w:rsidP="000A40A1">
      <w:pPr>
        <w:ind w:firstLineChars="300" w:firstLine="630"/>
      </w:pPr>
      <w:r>
        <w:rPr>
          <w:rFonts w:hint="eastAsia"/>
        </w:rPr>
        <w:t xml:space="preserve">　　所得税：</w:t>
      </w:r>
      <w:r>
        <w:rPr>
          <w:rFonts w:hint="eastAsia"/>
        </w:rPr>
        <w:t>76</w:t>
      </w:r>
      <w:r>
        <w:rPr>
          <w:rFonts w:hint="eastAsia"/>
        </w:rPr>
        <w:t>件、</w:t>
      </w:r>
      <w:r>
        <w:rPr>
          <w:rFonts w:hint="eastAsia"/>
        </w:rPr>
        <w:t>23.2%</w:t>
      </w:r>
    </w:p>
    <w:p w:rsidR="000A40A1" w:rsidRDefault="000A40A1" w:rsidP="000A40A1">
      <w:pPr>
        <w:ind w:firstLineChars="300" w:firstLine="630"/>
      </w:pPr>
      <w:r>
        <w:rPr>
          <w:rFonts w:hint="eastAsia"/>
        </w:rPr>
        <w:t xml:space="preserve">　　</w:t>
      </w:r>
      <w:r w:rsidR="00F16648">
        <w:rPr>
          <w:rFonts w:hint="eastAsia"/>
        </w:rPr>
        <w:t>法人税：</w:t>
      </w:r>
      <w:r w:rsidR="00F16648">
        <w:rPr>
          <w:rFonts w:hint="eastAsia"/>
        </w:rPr>
        <w:t>73</w:t>
      </w:r>
      <w:r w:rsidR="00F16648">
        <w:rPr>
          <w:rFonts w:hint="eastAsia"/>
        </w:rPr>
        <w:t>件、</w:t>
      </w:r>
      <w:r w:rsidR="00F16648">
        <w:rPr>
          <w:rFonts w:hint="eastAsia"/>
        </w:rPr>
        <w:t>22.3%</w:t>
      </w:r>
    </w:p>
    <w:p w:rsidR="00F16648" w:rsidRDefault="00F16648" w:rsidP="000A40A1">
      <w:pPr>
        <w:ind w:firstLineChars="300" w:firstLine="630"/>
      </w:pPr>
      <w:r>
        <w:rPr>
          <w:rFonts w:hint="eastAsia"/>
        </w:rPr>
        <w:t xml:space="preserve">　　相続税：</w:t>
      </w:r>
      <w:r>
        <w:rPr>
          <w:rFonts w:hint="eastAsia"/>
        </w:rPr>
        <w:t>21</w:t>
      </w:r>
      <w:r>
        <w:rPr>
          <w:rFonts w:hint="eastAsia"/>
        </w:rPr>
        <w:t>件、</w:t>
      </w:r>
      <w:r>
        <w:rPr>
          <w:rFonts w:hint="eastAsia"/>
        </w:rPr>
        <w:t>6.4%</w:t>
      </w:r>
    </w:p>
    <w:p w:rsidR="00F16648" w:rsidRDefault="00F16648" w:rsidP="000A40A1">
      <w:pPr>
        <w:ind w:firstLineChars="300" w:firstLine="630"/>
      </w:pPr>
      <w:r>
        <w:rPr>
          <w:rFonts w:hint="eastAsia"/>
        </w:rPr>
        <w:t xml:space="preserve">　　贈与税：</w:t>
      </w:r>
      <w:r>
        <w:rPr>
          <w:rFonts w:hint="eastAsia"/>
        </w:rPr>
        <w:t>13</w:t>
      </w:r>
      <w:r>
        <w:rPr>
          <w:rFonts w:hint="eastAsia"/>
        </w:rPr>
        <w:t>件、</w:t>
      </w:r>
      <w:r>
        <w:rPr>
          <w:rFonts w:hint="eastAsia"/>
        </w:rPr>
        <w:t>4.0%</w:t>
      </w:r>
    </w:p>
    <w:p w:rsidR="00F16648" w:rsidRDefault="00F16648" w:rsidP="000A40A1">
      <w:pPr>
        <w:ind w:firstLineChars="300" w:firstLine="630"/>
      </w:pPr>
      <w:r>
        <w:rPr>
          <w:rFonts w:hint="eastAsia"/>
        </w:rPr>
        <w:t>・消費税</w:t>
      </w:r>
      <w:r>
        <w:rPr>
          <w:rFonts w:hint="eastAsia"/>
        </w:rPr>
        <w:t>135</w:t>
      </w:r>
      <w:r>
        <w:rPr>
          <w:rFonts w:hint="eastAsia"/>
        </w:rPr>
        <w:t>件の内訳</w:t>
      </w:r>
    </w:p>
    <w:p w:rsidR="00265DD2" w:rsidRDefault="00F16648" w:rsidP="00EF351C">
      <w:pPr>
        <w:ind w:firstLineChars="300" w:firstLine="630"/>
      </w:pPr>
      <w:r>
        <w:rPr>
          <w:rFonts w:hint="eastAsia"/>
        </w:rPr>
        <w:t xml:space="preserve">　　簡易課税選択届出書提出失念：</w:t>
      </w:r>
      <w:r>
        <w:rPr>
          <w:rFonts w:hint="eastAsia"/>
        </w:rPr>
        <w:t>11</w:t>
      </w:r>
      <w:r>
        <w:rPr>
          <w:rFonts w:hint="eastAsia"/>
        </w:rPr>
        <w:t>件</w:t>
      </w:r>
    </w:p>
    <w:p w:rsidR="00F16648" w:rsidRDefault="00F16648" w:rsidP="00EF351C">
      <w:pPr>
        <w:ind w:firstLineChars="300" w:firstLine="630"/>
      </w:pPr>
      <w:r>
        <w:rPr>
          <w:rFonts w:hint="eastAsia"/>
        </w:rPr>
        <w:t xml:space="preserve">　　簡易課税不適用届出書提出失念：</w:t>
      </w:r>
      <w:r>
        <w:rPr>
          <w:rFonts w:hint="eastAsia"/>
        </w:rPr>
        <w:t>40</w:t>
      </w:r>
      <w:r>
        <w:rPr>
          <w:rFonts w:hint="eastAsia"/>
        </w:rPr>
        <w:t>件</w:t>
      </w:r>
      <w:r w:rsidR="00B624A7">
        <w:rPr>
          <w:rFonts w:hint="eastAsia"/>
        </w:rPr>
        <w:t xml:space="preserve">　③</w:t>
      </w:r>
    </w:p>
    <w:p w:rsidR="00F16648" w:rsidRDefault="00F16648" w:rsidP="00EF351C">
      <w:pPr>
        <w:ind w:firstLineChars="300" w:firstLine="630"/>
      </w:pPr>
      <w:r>
        <w:rPr>
          <w:rFonts w:hint="eastAsia"/>
        </w:rPr>
        <w:t xml:space="preserve">　　課税事業者選択届出書提出失念：</w:t>
      </w:r>
      <w:r>
        <w:rPr>
          <w:rFonts w:hint="eastAsia"/>
        </w:rPr>
        <w:t>28</w:t>
      </w:r>
      <w:r>
        <w:rPr>
          <w:rFonts w:hint="eastAsia"/>
        </w:rPr>
        <w:t>件　①</w:t>
      </w:r>
    </w:p>
    <w:p w:rsidR="00F16648" w:rsidRDefault="00F16648" w:rsidP="00EF351C">
      <w:pPr>
        <w:ind w:firstLineChars="300" w:firstLine="630"/>
      </w:pPr>
      <w:r>
        <w:rPr>
          <w:rFonts w:hint="eastAsia"/>
        </w:rPr>
        <w:t xml:space="preserve">　　課税事業者選択不適用届出書提出失念：</w:t>
      </w:r>
      <w:r>
        <w:rPr>
          <w:rFonts w:hint="eastAsia"/>
        </w:rPr>
        <w:t>2</w:t>
      </w:r>
      <w:r>
        <w:rPr>
          <w:rFonts w:hint="eastAsia"/>
        </w:rPr>
        <w:t>件</w:t>
      </w:r>
    </w:p>
    <w:p w:rsidR="00F16648" w:rsidRDefault="00F16648" w:rsidP="00EF351C">
      <w:pPr>
        <w:ind w:firstLineChars="300" w:firstLine="630"/>
      </w:pPr>
      <w:r>
        <w:rPr>
          <w:rFonts w:hint="eastAsia"/>
        </w:rPr>
        <w:t xml:space="preserve">　　簡易課税誤選択：</w:t>
      </w:r>
      <w:r>
        <w:rPr>
          <w:rFonts w:hint="eastAsia"/>
        </w:rPr>
        <w:t>4</w:t>
      </w:r>
      <w:r>
        <w:rPr>
          <w:rFonts w:hint="eastAsia"/>
        </w:rPr>
        <w:t>件</w:t>
      </w:r>
    </w:p>
    <w:p w:rsidR="00F16648" w:rsidRDefault="00F16648" w:rsidP="00EF351C">
      <w:pPr>
        <w:ind w:firstLineChars="300" w:firstLine="630"/>
      </w:pPr>
      <w:r>
        <w:rPr>
          <w:rFonts w:hint="eastAsia"/>
        </w:rPr>
        <w:t xml:space="preserve">　　課税事業者誤選択：</w:t>
      </w:r>
      <w:r>
        <w:rPr>
          <w:rFonts w:hint="eastAsia"/>
        </w:rPr>
        <w:t>3</w:t>
      </w:r>
      <w:r>
        <w:rPr>
          <w:rFonts w:hint="eastAsia"/>
        </w:rPr>
        <w:t>件</w:t>
      </w:r>
    </w:p>
    <w:p w:rsidR="007B3E2A" w:rsidRDefault="007B3E2A" w:rsidP="00EF351C">
      <w:pPr>
        <w:ind w:firstLineChars="300" w:firstLine="630"/>
      </w:pPr>
      <w:r>
        <w:rPr>
          <w:rFonts w:hint="eastAsia"/>
        </w:rPr>
        <w:t xml:space="preserve">　　その他：</w:t>
      </w:r>
      <w:r>
        <w:rPr>
          <w:rFonts w:hint="eastAsia"/>
        </w:rPr>
        <w:t>47</w:t>
      </w:r>
      <w:r>
        <w:rPr>
          <w:rFonts w:hint="eastAsia"/>
        </w:rPr>
        <w:t>件　②</w:t>
      </w:r>
      <w:r w:rsidR="00B624A7">
        <w:rPr>
          <w:rFonts w:hint="eastAsia"/>
        </w:rPr>
        <w:t>④</w:t>
      </w:r>
      <w:r w:rsidR="00D90B45">
        <w:rPr>
          <w:rFonts w:hint="eastAsia"/>
        </w:rPr>
        <w:t>⑤</w:t>
      </w:r>
    </w:p>
    <w:p w:rsidR="00265DD2" w:rsidRDefault="00265DD2" w:rsidP="00EF351C">
      <w:pPr>
        <w:ind w:firstLineChars="300" w:firstLine="630"/>
      </w:pPr>
    </w:p>
    <w:p w:rsidR="00F16648" w:rsidRDefault="00F16648" w:rsidP="00F16648">
      <w:r>
        <w:rPr>
          <w:rFonts w:hint="eastAsia"/>
        </w:rPr>
        <w:t>（２）具体的事故事例</w:t>
      </w:r>
    </w:p>
    <w:p w:rsidR="00F16648" w:rsidRDefault="00F16648" w:rsidP="00F16648">
      <w:pPr>
        <w:ind w:firstLineChars="300" w:firstLine="630"/>
      </w:pPr>
      <w:r>
        <w:rPr>
          <w:rFonts w:hint="eastAsia"/>
        </w:rPr>
        <w:t>①課税事業者選択届出書提出失念</w:t>
      </w:r>
    </w:p>
    <w:p w:rsidR="00F16648" w:rsidRDefault="00F16648" w:rsidP="00F16648">
      <w:pPr>
        <w:ind w:leftChars="300" w:left="840" w:hangingChars="100" w:hanging="210"/>
      </w:pPr>
      <w:r>
        <w:rPr>
          <w:rFonts w:hint="eastAsia"/>
        </w:rPr>
        <w:t>「税理士は、平成</w:t>
      </w:r>
      <w:r>
        <w:rPr>
          <w:rFonts w:hint="eastAsia"/>
        </w:rPr>
        <w:t>25</w:t>
      </w:r>
      <w:r>
        <w:rPr>
          <w:rFonts w:hint="eastAsia"/>
        </w:rPr>
        <w:t>年</w:t>
      </w:r>
      <w:r>
        <w:rPr>
          <w:rFonts w:hint="eastAsia"/>
        </w:rPr>
        <w:t>1</w:t>
      </w:r>
      <w:r>
        <w:rPr>
          <w:rFonts w:hint="eastAsia"/>
        </w:rPr>
        <w:t>月</w:t>
      </w:r>
      <w:r>
        <w:rPr>
          <w:rFonts w:hint="eastAsia"/>
        </w:rPr>
        <w:t>22</w:t>
      </w:r>
      <w:r>
        <w:rPr>
          <w:rFonts w:hint="eastAsia"/>
        </w:rPr>
        <w:t>日に設立された依頼者と平成</w:t>
      </w:r>
      <w:r>
        <w:rPr>
          <w:rFonts w:hint="eastAsia"/>
        </w:rPr>
        <w:t>25</w:t>
      </w:r>
      <w:r>
        <w:rPr>
          <w:rFonts w:hint="eastAsia"/>
        </w:rPr>
        <w:t>年</w:t>
      </w:r>
      <w:r>
        <w:rPr>
          <w:rFonts w:hint="eastAsia"/>
        </w:rPr>
        <w:t>3</w:t>
      </w:r>
      <w:r>
        <w:rPr>
          <w:rFonts w:hint="eastAsia"/>
        </w:rPr>
        <w:t>月に税務顧問契約書を締結した。その際に依頼者から提示された試算表の資本金の額が</w:t>
      </w:r>
      <w:r>
        <w:rPr>
          <w:rFonts w:hint="eastAsia"/>
        </w:rPr>
        <w:t>2</w:t>
      </w:r>
      <w:r>
        <w:rPr>
          <w:rFonts w:hint="eastAsia"/>
        </w:rPr>
        <w:t>億円であったことから、設立事業年度より消費税の課税事業者であると税理士は思い込み、設立事業年度に設備投資をする相談を受けていたにもかかわらず、依頼者の設立時の資本金の額を確認しないまま、課税事業者として消費税の還付申告書を提出した。</w:t>
      </w:r>
    </w:p>
    <w:p w:rsidR="00F16648" w:rsidRPr="00F16648" w:rsidRDefault="00F16648" w:rsidP="00F16648">
      <w:pPr>
        <w:ind w:leftChars="300" w:left="840" w:hangingChars="100" w:hanging="210"/>
      </w:pPr>
      <w:r>
        <w:rPr>
          <w:rFonts w:hint="eastAsia"/>
        </w:rPr>
        <w:t xml:space="preserve">　　その後、所轄税務署より免税事業者であるとの連絡を受け、確認したところ設立時の資本金の額が</w:t>
      </w:r>
      <w:r>
        <w:rPr>
          <w:rFonts w:hint="eastAsia"/>
        </w:rPr>
        <w:t>10</w:t>
      </w:r>
      <w:r>
        <w:rPr>
          <w:rFonts w:hint="eastAsia"/>
        </w:rPr>
        <w:t>万円であることが判明した。税理士が設立時の資本金の額を確認していれば「課税事業者選択届出書」を提出し、消費税の還付が可能であったとして、依頼者から損害賠償請求を受けた。」</w:t>
      </w:r>
    </w:p>
    <w:p w:rsidR="00F16648" w:rsidRDefault="00F16648" w:rsidP="00F16648"/>
    <w:p w:rsidR="00F16648" w:rsidRDefault="007B3E2A" w:rsidP="00F16648">
      <w:r>
        <w:rPr>
          <w:rFonts w:hint="eastAsia"/>
        </w:rPr>
        <w:t xml:space="preserve">　　　②納税義務判定誤り</w:t>
      </w:r>
    </w:p>
    <w:p w:rsidR="007B3E2A" w:rsidRDefault="007B3E2A" w:rsidP="007B3E2A">
      <w:pPr>
        <w:ind w:left="840" w:hangingChars="400" w:hanging="840"/>
      </w:pPr>
      <w:r>
        <w:rPr>
          <w:rFonts w:hint="eastAsia"/>
        </w:rPr>
        <w:t xml:space="preserve">　　　「税理士は依頼者（協同組合）から事業分量配当金を支払った資料を入手しており、法人税の申告書に協同組合等の事業分量配当等の損金算入に関する明細書を添付していた。しかし、平成</w:t>
      </w:r>
      <w:r>
        <w:rPr>
          <w:rFonts w:hint="eastAsia"/>
        </w:rPr>
        <w:t>17</w:t>
      </w:r>
      <w:r>
        <w:rPr>
          <w:rFonts w:hint="eastAsia"/>
        </w:rPr>
        <w:t>年</w:t>
      </w:r>
      <w:r>
        <w:rPr>
          <w:rFonts w:hint="eastAsia"/>
        </w:rPr>
        <w:t>3</w:t>
      </w:r>
      <w:r>
        <w:rPr>
          <w:rFonts w:hint="eastAsia"/>
        </w:rPr>
        <w:t>月期及び平成</w:t>
      </w:r>
      <w:r>
        <w:rPr>
          <w:rFonts w:hint="eastAsia"/>
        </w:rPr>
        <w:t>19</w:t>
      </w:r>
      <w:r>
        <w:rPr>
          <w:rFonts w:hint="eastAsia"/>
        </w:rPr>
        <w:t>年</w:t>
      </w:r>
      <w:r>
        <w:rPr>
          <w:rFonts w:hint="eastAsia"/>
        </w:rPr>
        <w:t>3</w:t>
      </w:r>
      <w:r>
        <w:rPr>
          <w:rFonts w:hint="eastAsia"/>
        </w:rPr>
        <w:t>月期から平成</w:t>
      </w:r>
      <w:r>
        <w:rPr>
          <w:rFonts w:hint="eastAsia"/>
        </w:rPr>
        <w:t>21</w:t>
      </w:r>
      <w:r>
        <w:rPr>
          <w:rFonts w:hint="eastAsia"/>
        </w:rPr>
        <w:t>年</w:t>
      </w:r>
      <w:r>
        <w:rPr>
          <w:rFonts w:hint="eastAsia"/>
        </w:rPr>
        <w:t>3</w:t>
      </w:r>
      <w:r>
        <w:rPr>
          <w:rFonts w:hint="eastAsia"/>
        </w:rPr>
        <w:t>月期の消費税の納税義務判定に際し、基準期間における課税売上高から協同組合等が組合員等に課税資産の譲渡等の分量等に応じて支払った事業分量配当金を、売上に係る対価の返還等として控除することを失念し、基準期間における課税売上高</w:t>
      </w:r>
      <w:r>
        <w:rPr>
          <w:rFonts w:hint="eastAsia"/>
        </w:rPr>
        <w:lastRenderedPageBreak/>
        <w:t>が</w:t>
      </w:r>
      <w:r>
        <w:rPr>
          <w:rFonts w:hint="eastAsia"/>
        </w:rPr>
        <w:t>1</w:t>
      </w:r>
      <w:r>
        <w:rPr>
          <w:rFonts w:hint="eastAsia"/>
        </w:rPr>
        <w:t>千万円超の納税義務者と判断した。</w:t>
      </w:r>
    </w:p>
    <w:p w:rsidR="007B3E2A" w:rsidRDefault="007B3E2A" w:rsidP="007B3E2A">
      <w:pPr>
        <w:ind w:left="840" w:hangingChars="400" w:hanging="840"/>
      </w:pPr>
      <w:r>
        <w:rPr>
          <w:rFonts w:hint="eastAsia"/>
        </w:rPr>
        <w:t xml:space="preserve">　　　　　事業分量配当金を基準期間の課税売上高から控除していれば、課税売上高が</w:t>
      </w:r>
      <w:r>
        <w:rPr>
          <w:rFonts w:hint="eastAsia"/>
        </w:rPr>
        <w:t>1</w:t>
      </w:r>
      <w:r>
        <w:rPr>
          <w:rFonts w:hint="eastAsia"/>
        </w:rPr>
        <w:t>千万円以下であり依頼者は免税事業者として消費税の納税義務は無かった。」</w:t>
      </w:r>
    </w:p>
    <w:p w:rsidR="00F16648" w:rsidRDefault="00F16648" w:rsidP="00F16648"/>
    <w:p w:rsidR="007B3E2A" w:rsidRDefault="007B3E2A" w:rsidP="00F16648">
      <w:r>
        <w:rPr>
          <w:rFonts w:hint="eastAsia"/>
        </w:rPr>
        <w:t xml:space="preserve">　　　③簡易課税選択不適用届出書提出失念</w:t>
      </w:r>
    </w:p>
    <w:p w:rsidR="007B3E2A" w:rsidRDefault="007B3E2A" w:rsidP="007B3E2A">
      <w:pPr>
        <w:ind w:left="840" w:hangingChars="400" w:hanging="840"/>
      </w:pPr>
      <w:r>
        <w:rPr>
          <w:rFonts w:hint="eastAsia"/>
        </w:rPr>
        <w:t xml:space="preserve">　　　「平成</w:t>
      </w:r>
      <w:r>
        <w:rPr>
          <w:rFonts w:hint="eastAsia"/>
        </w:rPr>
        <w:t>26</w:t>
      </w:r>
      <w:r>
        <w:rPr>
          <w:rFonts w:hint="eastAsia"/>
        </w:rPr>
        <w:t>年</w:t>
      </w:r>
      <w:r>
        <w:rPr>
          <w:rFonts w:hint="eastAsia"/>
        </w:rPr>
        <w:t>5</w:t>
      </w:r>
      <w:r>
        <w:rPr>
          <w:rFonts w:hint="eastAsia"/>
        </w:rPr>
        <w:t>月期の消費税につき、売電事業の設備投資に係る消費税の還付を受けようとしたが、過去に提出された「簡易課税制度選択届出書」の効力により還付を受けることができなくなってしまった。これにより、還付不能額につき損害が発生した依頼者より損害賠償請求を受けた。」</w:t>
      </w:r>
    </w:p>
    <w:p w:rsidR="007B3E2A" w:rsidRDefault="007B3E2A" w:rsidP="007B3E2A">
      <w:pPr>
        <w:ind w:left="840" w:hangingChars="400" w:hanging="840"/>
      </w:pPr>
    </w:p>
    <w:p w:rsidR="007B3E2A" w:rsidRPr="007B3E2A" w:rsidRDefault="00B624A7" w:rsidP="007B3E2A">
      <w:pPr>
        <w:ind w:left="840" w:hangingChars="400" w:hanging="840"/>
      </w:pPr>
      <w:r>
        <w:rPr>
          <w:rFonts w:hint="eastAsia"/>
        </w:rPr>
        <w:t xml:space="preserve">　　　④有利不利判断ミス</w:t>
      </w:r>
    </w:p>
    <w:p w:rsidR="00F16648" w:rsidRDefault="00B624A7" w:rsidP="00B624A7">
      <w:pPr>
        <w:ind w:left="840" w:hangingChars="400" w:hanging="840"/>
      </w:pPr>
      <w:r>
        <w:rPr>
          <w:rFonts w:hint="eastAsia"/>
        </w:rPr>
        <w:t xml:space="preserve">　　　「平成</w:t>
      </w:r>
      <w:r>
        <w:rPr>
          <w:rFonts w:hint="eastAsia"/>
        </w:rPr>
        <w:t>25</w:t>
      </w:r>
      <w:r>
        <w:rPr>
          <w:rFonts w:hint="eastAsia"/>
        </w:rPr>
        <w:t>年</w:t>
      </w:r>
      <w:r>
        <w:rPr>
          <w:rFonts w:hint="eastAsia"/>
        </w:rPr>
        <w:t>7</w:t>
      </w:r>
      <w:r>
        <w:rPr>
          <w:rFonts w:hint="eastAsia"/>
        </w:rPr>
        <w:t>月、税理士は、依頼者の消費税確定申告について翌期の事業計画を考慮すれば翌期は個別対応方式が大幅に有利となることが明らかであったにも拘わらず、説明、検討、確認をすることなく一括比例配分方式適用の確定申告書を作成提出した。</w:t>
      </w:r>
    </w:p>
    <w:p w:rsidR="00B624A7" w:rsidRDefault="00B624A7" w:rsidP="00B624A7">
      <w:pPr>
        <w:ind w:left="840" w:hangingChars="400" w:hanging="840"/>
      </w:pPr>
      <w:r>
        <w:rPr>
          <w:rFonts w:hint="eastAsia"/>
        </w:rPr>
        <w:t xml:space="preserve">　　　　　平成</w:t>
      </w:r>
      <w:r>
        <w:rPr>
          <w:rFonts w:hint="eastAsia"/>
        </w:rPr>
        <w:t>26</w:t>
      </w:r>
      <w:r>
        <w:rPr>
          <w:rFonts w:hint="eastAsia"/>
        </w:rPr>
        <w:t>年</w:t>
      </w:r>
      <w:r>
        <w:rPr>
          <w:rFonts w:hint="eastAsia"/>
        </w:rPr>
        <w:t>7</w:t>
      </w:r>
      <w:r>
        <w:rPr>
          <w:rFonts w:hint="eastAsia"/>
        </w:rPr>
        <w:t>月、税理士は決算作業の際、一括比例配分方式適用による過誤に気付き、依頼者に過誤内容を説明したところ、損害賠償請求を受けた。」</w:t>
      </w:r>
    </w:p>
    <w:p w:rsidR="00F16648" w:rsidRDefault="00F16648" w:rsidP="00F16648"/>
    <w:p w:rsidR="00B624A7" w:rsidRDefault="00D90B45" w:rsidP="00F16648">
      <w:r>
        <w:rPr>
          <w:rFonts w:hint="eastAsia"/>
        </w:rPr>
        <w:t xml:space="preserve">　　　⑤簡易課税業種区分誤り</w:t>
      </w:r>
    </w:p>
    <w:p w:rsidR="00D90B45" w:rsidRDefault="00D90B45" w:rsidP="00D90B45">
      <w:pPr>
        <w:ind w:left="840" w:hangingChars="400" w:hanging="840"/>
      </w:pPr>
      <w:r>
        <w:rPr>
          <w:rFonts w:hint="eastAsia"/>
        </w:rPr>
        <w:t xml:space="preserve">　　　「依頼者の課税売上高には、物販販売に該当する第</w:t>
      </w:r>
      <w:r>
        <w:rPr>
          <w:rFonts w:hint="eastAsia"/>
        </w:rPr>
        <w:t>2</w:t>
      </w:r>
      <w:r>
        <w:rPr>
          <w:rFonts w:hint="eastAsia"/>
        </w:rPr>
        <w:t>種売上に該当するものが含まれていたにもかかわらず、全て第</w:t>
      </w:r>
      <w:r>
        <w:rPr>
          <w:rFonts w:hint="eastAsia"/>
        </w:rPr>
        <w:t>5</w:t>
      </w:r>
      <w:r>
        <w:rPr>
          <w:rFonts w:hint="eastAsia"/>
        </w:rPr>
        <w:t>種事業として申告したため過大納付消費税が発生した。</w:t>
      </w:r>
      <w:r w:rsidR="002A428B">
        <w:rPr>
          <w:rFonts w:hint="eastAsia"/>
        </w:rPr>
        <w:t>税理士が、依頼者の売上の中には第</w:t>
      </w:r>
      <w:r w:rsidR="002A428B">
        <w:rPr>
          <w:rFonts w:hint="eastAsia"/>
        </w:rPr>
        <w:t>2</w:t>
      </w:r>
      <w:r w:rsidR="002A428B">
        <w:rPr>
          <w:rFonts w:hint="eastAsia"/>
        </w:rPr>
        <w:t>種事業に該当する売上があることを確認し、依頼者へ区分経理を指導していたならば過大納付は発生しなかったとして、過大納付税額について損害賠償請求を受けた。」</w:t>
      </w:r>
    </w:p>
    <w:p w:rsidR="00D90B45" w:rsidRDefault="00D90B45" w:rsidP="00F16648"/>
    <w:p w:rsidR="00D90B45" w:rsidRDefault="00D90B45" w:rsidP="00F16648"/>
    <w:p w:rsidR="00D90B45" w:rsidRDefault="00D90B45" w:rsidP="00F16648">
      <w:bookmarkStart w:id="0" w:name="_GoBack"/>
      <w:bookmarkEnd w:id="0"/>
    </w:p>
    <w:sectPr w:rsidR="00D90B45" w:rsidSect="00F170F9">
      <w:footerReference w:type="default" r:id="rId8"/>
      <w:pgSz w:w="11906" w:h="16838" w:code="9"/>
      <w:pgMar w:top="1814"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5B6" w:rsidRDefault="002A35B6" w:rsidP="000E7590">
      <w:r>
        <w:separator/>
      </w:r>
    </w:p>
  </w:endnote>
  <w:endnote w:type="continuationSeparator" w:id="0">
    <w:p w:rsidR="002A35B6" w:rsidRDefault="002A35B6" w:rsidP="000E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914172"/>
      <w:docPartObj>
        <w:docPartGallery w:val="Page Numbers (Bottom of Page)"/>
        <w:docPartUnique/>
      </w:docPartObj>
    </w:sdtPr>
    <w:sdtEndPr/>
    <w:sdtContent>
      <w:p w:rsidR="00F16648" w:rsidRDefault="00F16648">
        <w:pPr>
          <w:pStyle w:val="a9"/>
          <w:jc w:val="center"/>
        </w:pPr>
        <w:r>
          <w:fldChar w:fldCharType="begin"/>
        </w:r>
        <w:r>
          <w:instrText>PAGE   \* MERGEFORMAT</w:instrText>
        </w:r>
        <w:r>
          <w:fldChar w:fldCharType="separate"/>
        </w:r>
        <w:r w:rsidR="00F17569" w:rsidRPr="00F17569">
          <w:rPr>
            <w:noProof/>
            <w:lang w:val="ja-JP"/>
          </w:rPr>
          <w:t>4</w:t>
        </w:r>
        <w:r>
          <w:fldChar w:fldCharType="end"/>
        </w:r>
      </w:p>
    </w:sdtContent>
  </w:sdt>
  <w:p w:rsidR="00F16648" w:rsidRDefault="00F166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5B6" w:rsidRDefault="002A35B6" w:rsidP="000E7590">
      <w:r>
        <w:separator/>
      </w:r>
    </w:p>
  </w:footnote>
  <w:footnote w:type="continuationSeparator" w:id="0">
    <w:p w:rsidR="002A35B6" w:rsidRDefault="002A35B6" w:rsidP="000E7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C1B"/>
    <w:multiLevelType w:val="hybridMultilevel"/>
    <w:tmpl w:val="A0BA9902"/>
    <w:lvl w:ilvl="0" w:tplc="D6122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295D05"/>
    <w:multiLevelType w:val="hybridMultilevel"/>
    <w:tmpl w:val="6950846E"/>
    <w:lvl w:ilvl="0" w:tplc="5732A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44"/>
    <w:rsid w:val="000430CD"/>
    <w:rsid w:val="000A40A1"/>
    <w:rsid w:val="000D4847"/>
    <w:rsid w:val="000D7AE9"/>
    <w:rsid w:val="000E7590"/>
    <w:rsid w:val="00100AA2"/>
    <w:rsid w:val="001276E0"/>
    <w:rsid w:val="001607CE"/>
    <w:rsid w:val="00162672"/>
    <w:rsid w:val="001F007E"/>
    <w:rsid w:val="002024FC"/>
    <w:rsid w:val="00232D86"/>
    <w:rsid w:val="00247ACF"/>
    <w:rsid w:val="00265DD2"/>
    <w:rsid w:val="002A35B6"/>
    <w:rsid w:val="002A428B"/>
    <w:rsid w:val="002B66A8"/>
    <w:rsid w:val="002E6D2B"/>
    <w:rsid w:val="002F289E"/>
    <w:rsid w:val="00300498"/>
    <w:rsid w:val="003070CC"/>
    <w:rsid w:val="0035257E"/>
    <w:rsid w:val="003C111D"/>
    <w:rsid w:val="003F7D74"/>
    <w:rsid w:val="00404284"/>
    <w:rsid w:val="00404790"/>
    <w:rsid w:val="004522BE"/>
    <w:rsid w:val="004739A7"/>
    <w:rsid w:val="004817CA"/>
    <w:rsid w:val="00492F38"/>
    <w:rsid w:val="004E266F"/>
    <w:rsid w:val="004F11FE"/>
    <w:rsid w:val="00550FED"/>
    <w:rsid w:val="00560F42"/>
    <w:rsid w:val="005747B4"/>
    <w:rsid w:val="00591669"/>
    <w:rsid w:val="005C3355"/>
    <w:rsid w:val="0062380B"/>
    <w:rsid w:val="00627D52"/>
    <w:rsid w:val="00636608"/>
    <w:rsid w:val="006479AC"/>
    <w:rsid w:val="00677685"/>
    <w:rsid w:val="00680620"/>
    <w:rsid w:val="00696B39"/>
    <w:rsid w:val="006C0B43"/>
    <w:rsid w:val="006C10ED"/>
    <w:rsid w:val="006D117F"/>
    <w:rsid w:val="007111B9"/>
    <w:rsid w:val="00711F64"/>
    <w:rsid w:val="00712ADA"/>
    <w:rsid w:val="00731297"/>
    <w:rsid w:val="00746480"/>
    <w:rsid w:val="007708F0"/>
    <w:rsid w:val="0077672E"/>
    <w:rsid w:val="00795CC2"/>
    <w:rsid w:val="007A0318"/>
    <w:rsid w:val="007A7340"/>
    <w:rsid w:val="007B3E2A"/>
    <w:rsid w:val="007D38B0"/>
    <w:rsid w:val="00800084"/>
    <w:rsid w:val="00810D15"/>
    <w:rsid w:val="008163FB"/>
    <w:rsid w:val="00882B3C"/>
    <w:rsid w:val="008853AC"/>
    <w:rsid w:val="008A394A"/>
    <w:rsid w:val="008C49B3"/>
    <w:rsid w:val="008C7014"/>
    <w:rsid w:val="00914BA0"/>
    <w:rsid w:val="009901F9"/>
    <w:rsid w:val="009D6788"/>
    <w:rsid w:val="00A1268C"/>
    <w:rsid w:val="00A173CD"/>
    <w:rsid w:val="00A32444"/>
    <w:rsid w:val="00A96097"/>
    <w:rsid w:val="00B624A7"/>
    <w:rsid w:val="00BA37DB"/>
    <w:rsid w:val="00BC6E62"/>
    <w:rsid w:val="00BD3C9F"/>
    <w:rsid w:val="00C0759C"/>
    <w:rsid w:val="00C1638E"/>
    <w:rsid w:val="00C265C1"/>
    <w:rsid w:val="00C50EF4"/>
    <w:rsid w:val="00CC199C"/>
    <w:rsid w:val="00CC4FE0"/>
    <w:rsid w:val="00D279BE"/>
    <w:rsid w:val="00D51F64"/>
    <w:rsid w:val="00D90B45"/>
    <w:rsid w:val="00DB7C81"/>
    <w:rsid w:val="00DD2A5B"/>
    <w:rsid w:val="00DD4A24"/>
    <w:rsid w:val="00E12A5B"/>
    <w:rsid w:val="00E318B9"/>
    <w:rsid w:val="00E50423"/>
    <w:rsid w:val="00E52C92"/>
    <w:rsid w:val="00E6394B"/>
    <w:rsid w:val="00E761E6"/>
    <w:rsid w:val="00E94479"/>
    <w:rsid w:val="00EC677F"/>
    <w:rsid w:val="00EF070C"/>
    <w:rsid w:val="00EF3317"/>
    <w:rsid w:val="00EF351C"/>
    <w:rsid w:val="00F13442"/>
    <w:rsid w:val="00F16648"/>
    <w:rsid w:val="00F170F9"/>
    <w:rsid w:val="00F17569"/>
    <w:rsid w:val="00F56ACF"/>
    <w:rsid w:val="00F62028"/>
    <w:rsid w:val="00FC28D9"/>
    <w:rsid w:val="00FC6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E2D9612-652E-4178-AB70-F6F15C98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4790"/>
  </w:style>
  <w:style w:type="character" w:customStyle="1" w:styleId="a4">
    <w:name w:val="日付 (文字)"/>
    <w:basedOn w:val="a0"/>
    <w:link w:val="a3"/>
    <w:uiPriority w:val="99"/>
    <w:semiHidden/>
    <w:rsid w:val="00404790"/>
  </w:style>
  <w:style w:type="paragraph" w:styleId="a5">
    <w:name w:val="Balloon Text"/>
    <w:basedOn w:val="a"/>
    <w:link w:val="a6"/>
    <w:uiPriority w:val="99"/>
    <w:semiHidden/>
    <w:unhideWhenUsed/>
    <w:rsid w:val="0040428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4284"/>
    <w:rPr>
      <w:rFonts w:asciiTheme="majorHAnsi" w:eastAsiaTheme="majorEastAsia" w:hAnsiTheme="majorHAnsi" w:cstheme="majorBidi"/>
      <w:sz w:val="18"/>
      <w:szCs w:val="18"/>
    </w:rPr>
  </w:style>
  <w:style w:type="paragraph" w:styleId="a7">
    <w:name w:val="header"/>
    <w:basedOn w:val="a"/>
    <w:link w:val="a8"/>
    <w:uiPriority w:val="99"/>
    <w:unhideWhenUsed/>
    <w:rsid w:val="000E7590"/>
    <w:pPr>
      <w:tabs>
        <w:tab w:val="center" w:pos="4252"/>
        <w:tab w:val="right" w:pos="8504"/>
      </w:tabs>
      <w:snapToGrid w:val="0"/>
    </w:pPr>
  </w:style>
  <w:style w:type="character" w:customStyle="1" w:styleId="a8">
    <w:name w:val="ヘッダー (文字)"/>
    <w:basedOn w:val="a0"/>
    <w:link w:val="a7"/>
    <w:uiPriority w:val="99"/>
    <w:rsid w:val="000E7590"/>
  </w:style>
  <w:style w:type="paragraph" w:styleId="a9">
    <w:name w:val="footer"/>
    <w:basedOn w:val="a"/>
    <w:link w:val="aa"/>
    <w:uiPriority w:val="99"/>
    <w:unhideWhenUsed/>
    <w:rsid w:val="000E7590"/>
    <w:pPr>
      <w:tabs>
        <w:tab w:val="center" w:pos="4252"/>
        <w:tab w:val="right" w:pos="8504"/>
      </w:tabs>
      <w:snapToGrid w:val="0"/>
    </w:pPr>
  </w:style>
  <w:style w:type="character" w:customStyle="1" w:styleId="aa">
    <w:name w:val="フッター (文字)"/>
    <w:basedOn w:val="a0"/>
    <w:link w:val="a9"/>
    <w:uiPriority w:val="99"/>
    <w:rsid w:val="000E7590"/>
  </w:style>
  <w:style w:type="paragraph" w:customStyle="1" w:styleId="05">
    <w:name w:val="05：本文"/>
    <w:rsid w:val="004817CA"/>
    <w:pPr>
      <w:topLinePunct/>
      <w:autoSpaceDE w:val="0"/>
      <w:autoSpaceDN w:val="0"/>
      <w:adjustRightInd w:val="0"/>
      <w:snapToGrid w:val="0"/>
      <w:spacing w:line="305" w:lineRule="exact"/>
      <w:ind w:left="1701"/>
      <w:jc w:val="both"/>
      <w:textAlignment w:val="center"/>
    </w:pPr>
    <w:rPr>
      <w:rFonts w:ascii="HG丸ｺﾞｼｯｸM-PRO" w:eastAsia="HG丸ｺﾞｼｯｸM-PRO" w:hAnsi="Century" w:cs="Times New Roman"/>
      <w:snapToGrid w:val="0"/>
      <w:sz w:val="18"/>
      <w:szCs w:val="18"/>
    </w:rPr>
  </w:style>
  <w:style w:type="paragraph" w:styleId="ab">
    <w:name w:val="List Paragraph"/>
    <w:basedOn w:val="a"/>
    <w:uiPriority w:val="34"/>
    <w:qFormat/>
    <w:rsid w:val="005747B4"/>
    <w:pPr>
      <w:ind w:leftChars="400" w:left="840"/>
    </w:pPr>
  </w:style>
  <w:style w:type="paragraph" w:styleId="Web">
    <w:name w:val="Normal (Web)"/>
    <w:basedOn w:val="a"/>
    <w:uiPriority w:val="99"/>
    <w:semiHidden/>
    <w:unhideWhenUsed/>
    <w:rsid w:val="00F56A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'年表 (2)'!$A$6</c:f>
              <c:strCache>
                <c:ptCount val="1"/>
                <c:pt idx="0">
                  <c:v>実質GDPの対前年度増減率</c:v>
                </c:pt>
              </c:strCache>
            </c:strRef>
          </c:tx>
          <c:spPr>
            <a:ln w="28575" cap="rnd">
              <a:solidFill>
                <a:schemeClr val="accent1"/>
              </a:solidFill>
              <a:round/>
            </a:ln>
            <a:effectLst/>
          </c:spPr>
          <c:marker>
            <c:symbol val="none"/>
          </c:marker>
          <c:cat>
            <c:strRef>
              <c:f>'年表 (2)'!$B$1:$BI$5</c:f>
              <c:strCache>
                <c:ptCount val="60"/>
                <c:pt idx="0">
                  <c:v>56</c:v>
                </c:pt>
                <c:pt idx="1">
                  <c:v>57</c:v>
                </c:pt>
                <c:pt idx="2">
                  <c:v>58</c:v>
                </c:pt>
                <c:pt idx="3">
                  <c:v>59</c:v>
                </c:pt>
                <c:pt idx="4">
                  <c:v>60</c:v>
                </c:pt>
                <c:pt idx="5">
                  <c:v>61</c:v>
                </c:pt>
                <c:pt idx="6">
                  <c:v>62</c:v>
                </c:pt>
                <c:pt idx="7">
                  <c:v>63</c:v>
                </c:pt>
                <c:pt idx="8">
                  <c:v>64</c:v>
                </c:pt>
                <c:pt idx="9">
                  <c:v>65</c:v>
                </c:pt>
                <c:pt idx="10">
                  <c:v>66</c:v>
                </c:pt>
                <c:pt idx="11">
                  <c:v>67</c:v>
                </c:pt>
                <c:pt idx="12">
                  <c:v>68</c:v>
                </c:pt>
                <c:pt idx="13">
                  <c:v>69</c:v>
                </c:pt>
                <c:pt idx="14">
                  <c:v>70</c:v>
                </c:pt>
                <c:pt idx="15">
                  <c:v>71</c:v>
                </c:pt>
                <c:pt idx="16">
                  <c:v>72</c:v>
                </c:pt>
                <c:pt idx="17">
                  <c:v>73</c:v>
                </c:pt>
                <c:pt idx="18">
                  <c:v>74</c:v>
                </c:pt>
                <c:pt idx="19">
                  <c:v>75</c:v>
                </c:pt>
                <c:pt idx="20">
                  <c:v>76</c:v>
                </c:pt>
                <c:pt idx="21">
                  <c:v>77</c:v>
                </c:pt>
                <c:pt idx="22">
                  <c:v>78</c:v>
                </c:pt>
                <c:pt idx="23">
                  <c:v>79</c:v>
                </c:pt>
                <c:pt idx="24">
                  <c:v>80</c:v>
                </c:pt>
                <c:pt idx="25">
                  <c:v>81</c:v>
                </c:pt>
                <c:pt idx="26">
                  <c:v>82</c:v>
                </c:pt>
                <c:pt idx="27">
                  <c:v>83</c:v>
                </c:pt>
                <c:pt idx="28">
                  <c:v>84</c:v>
                </c:pt>
                <c:pt idx="29">
                  <c:v>85</c:v>
                </c:pt>
                <c:pt idx="30">
                  <c:v>86</c:v>
                </c:pt>
                <c:pt idx="31">
                  <c:v>87</c:v>
                </c:pt>
                <c:pt idx="32">
                  <c:v>88</c:v>
                </c:pt>
                <c:pt idx="33">
                  <c:v>89</c:v>
                </c:pt>
                <c:pt idx="34">
                  <c:v>90</c:v>
                </c:pt>
                <c:pt idx="35">
                  <c:v>91</c:v>
                </c:pt>
                <c:pt idx="36">
                  <c:v>92</c:v>
                </c:pt>
                <c:pt idx="37">
                  <c:v>93</c:v>
                </c:pt>
                <c:pt idx="38">
                  <c:v>94</c:v>
                </c:pt>
                <c:pt idx="39">
                  <c:v>95</c:v>
                </c:pt>
                <c:pt idx="40">
                  <c:v>96</c:v>
                </c:pt>
                <c:pt idx="41">
                  <c:v>97</c:v>
                </c:pt>
                <c:pt idx="42">
                  <c:v>98</c:v>
                </c:pt>
                <c:pt idx="43">
                  <c:v>99</c:v>
                </c:pt>
                <c:pt idx="44">
                  <c:v>00</c:v>
                </c:pt>
                <c:pt idx="45">
                  <c:v>01</c:v>
                </c:pt>
                <c:pt idx="46">
                  <c:v>02</c:v>
                </c:pt>
                <c:pt idx="47">
                  <c:v>03</c:v>
                </c:pt>
                <c:pt idx="48">
                  <c:v>04</c:v>
                </c:pt>
                <c:pt idx="49">
                  <c:v>05</c:v>
                </c:pt>
                <c:pt idx="50">
                  <c:v>06</c:v>
                </c:pt>
                <c:pt idx="51">
                  <c:v>07</c:v>
                </c:pt>
                <c:pt idx="52">
                  <c:v>08</c:v>
                </c:pt>
                <c:pt idx="53">
                  <c:v>09</c:v>
                </c:pt>
                <c:pt idx="54">
                  <c:v>10</c:v>
                </c:pt>
                <c:pt idx="55">
                  <c:v>11</c:v>
                </c:pt>
                <c:pt idx="56">
                  <c:v>12</c:v>
                </c:pt>
                <c:pt idx="57">
                  <c:v>13</c:v>
                </c:pt>
                <c:pt idx="58">
                  <c:v>14</c:v>
                </c:pt>
                <c:pt idx="59">
                  <c:v>15</c:v>
                </c:pt>
              </c:strCache>
            </c:strRef>
          </c:cat>
          <c:val>
            <c:numRef>
              <c:f>'年表 (2)'!$B$6:$BI$6</c:f>
              <c:numCache>
                <c:formatCode>0.0</c:formatCode>
                <c:ptCount val="60"/>
                <c:pt idx="0">
                  <c:v>6.8</c:v>
                </c:pt>
                <c:pt idx="1">
                  <c:v>8.1</c:v>
                </c:pt>
                <c:pt idx="2">
                  <c:v>6.6</c:v>
                </c:pt>
                <c:pt idx="3">
                  <c:v>11.2</c:v>
                </c:pt>
                <c:pt idx="4">
                  <c:v>12</c:v>
                </c:pt>
                <c:pt idx="5">
                  <c:v>11.7</c:v>
                </c:pt>
                <c:pt idx="6">
                  <c:v>7.5</c:v>
                </c:pt>
                <c:pt idx="7">
                  <c:v>10.4</c:v>
                </c:pt>
                <c:pt idx="8">
                  <c:v>9.5</c:v>
                </c:pt>
                <c:pt idx="9">
                  <c:v>6.2</c:v>
                </c:pt>
                <c:pt idx="10">
                  <c:v>11</c:v>
                </c:pt>
                <c:pt idx="11">
                  <c:v>11</c:v>
                </c:pt>
                <c:pt idx="12">
                  <c:v>12.4</c:v>
                </c:pt>
                <c:pt idx="13">
                  <c:v>12</c:v>
                </c:pt>
                <c:pt idx="14">
                  <c:v>8.1999999999999993</c:v>
                </c:pt>
                <c:pt idx="15">
                  <c:v>5</c:v>
                </c:pt>
                <c:pt idx="16" formatCode="General">
                  <c:v>9.1</c:v>
                </c:pt>
                <c:pt idx="17" formatCode="General">
                  <c:v>5.0999999999999996</c:v>
                </c:pt>
                <c:pt idx="18" formatCode="General">
                  <c:v>-0.5</c:v>
                </c:pt>
                <c:pt idx="19">
                  <c:v>4</c:v>
                </c:pt>
                <c:pt idx="20" formatCode="General">
                  <c:v>3.8</c:v>
                </c:pt>
                <c:pt idx="21" formatCode="General">
                  <c:v>4.5</c:v>
                </c:pt>
                <c:pt idx="22" formatCode="General">
                  <c:v>5.4</c:v>
                </c:pt>
                <c:pt idx="23" formatCode="General">
                  <c:v>5.0999999999999996</c:v>
                </c:pt>
                <c:pt idx="24" formatCode="General">
                  <c:v>2.6</c:v>
                </c:pt>
                <c:pt idx="25" formatCode="General">
                  <c:v>3.9</c:v>
                </c:pt>
                <c:pt idx="26" formatCode="General">
                  <c:v>3.1</c:v>
                </c:pt>
                <c:pt idx="27" formatCode="General">
                  <c:v>3.5</c:v>
                </c:pt>
                <c:pt idx="28" formatCode="General">
                  <c:v>4.8</c:v>
                </c:pt>
                <c:pt idx="29" formatCode="General">
                  <c:v>6.3</c:v>
                </c:pt>
                <c:pt idx="30" formatCode="General">
                  <c:v>1.9</c:v>
                </c:pt>
                <c:pt idx="31" formatCode="General">
                  <c:v>6.1</c:v>
                </c:pt>
                <c:pt idx="32" formatCode="General">
                  <c:v>6.4</c:v>
                </c:pt>
                <c:pt idx="33" formatCode="General">
                  <c:v>4.5999999999999996</c:v>
                </c:pt>
                <c:pt idx="34" formatCode="General">
                  <c:v>6.2</c:v>
                </c:pt>
                <c:pt idx="35" formatCode="General">
                  <c:v>2.2999999999999998</c:v>
                </c:pt>
                <c:pt idx="36" formatCode="General">
                  <c:v>0.7</c:v>
                </c:pt>
                <c:pt idx="37" formatCode="General">
                  <c:v>-0.5</c:v>
                </c:pt>
                <c:pt idx="38" formatCode="General">
                  <c:v>1.5</c:v>
                </c:pt>
                <c:pt idx="39" formatCode="General">
                  <c:v>2.7</c:v>
                </c:pt>
                <c:pt idx="40" formatCode="General">
                  <c:v>2.7</c:v>
                </c:pt>
                <c:pt idx="41" formatCode="General">
                  <c:v>0.1</c:v>
                </c:pt>
                <c:pt idx="42" formatCode="General">
                  <c:v>-1.5</c:v>
                </c:pt>
                <c:pt idx="43" formatCode="General">
                  <c:v>0.5</c:v>
                </c:pt>
                <c:pt idx="44">
                  <c:v>2</c:v>
                </c:pt>
                <c:pt idx="45" formatCode="General">
                  <c:v>-0.4</c:v>
                </c:pt>
                <c:pt idx="46" formatCode="General">
                  <c:v>1.1000000000000001</c:v>
                </c:pt>
                <c:pt idx="47" formatCode="General">
                  <c:v>2.2999999999999998</c:v>
                </c:pt>
                <c:pt idx="48" formatCode="General">
                  <c:v>1.5</c:v>
                </c:pt>
                <c:pt idx="49" formatCode="General">
                  <c:v>1.9</c:v>
                </c:pt>
                <c:pt idx="50" formatCode="General">
                  <c:v>1.8</c:v>
                </c:pt>
                <c:pt idx="51" formatCode="General">
                  <c:v>1.8</c:v>
                </c:pt>
                <c:pt idx="52" formatCode="General">
                  <c:v>-3.7</c:v>
                </c:pt>
                <c:pt idx="53">
                  <c:v>-2</c:v>
                </c:pt>
                <c:pt idx="54" formatCode="General">
                  <c:v>3.5</c:v>
                </c:pt>
                <c:pt idx="55" formatCode="General">
                  <c:v>0.4</c:v>
                </c:pt>
                <c:pt idx="56" formatCode="General">
                  <c:v>0.9</c:v>
                </c:pt>
                <c:pt idx="57">
                  <c:v>2</c:v>
                </c:pt>
                <c:pt idx="58" formatCode="General">
                  <c:v>-0.9</c:v>
                </c:pt>
                <c:pt idx="59" formatCode="General">
                  <c:v>0.8</c:v>
                </c:pt>
              </c:numCache>
            </c:numRef>
          </c:val>
          <c:smooth val="0"/>
        </c:ser>
        <c:dLbls>
          <c:showLegendKey val="0"/>
          <c:showVal val="0"/>
          <c:showCatName val="0"/>
          <c:showSerName val="0"/>
          <c:showPercent val="0"/>
          <c:showBubbleSize val="0"/>
        </c:dLbls>
        <c:smooth val="0"/>
        <c:axId val="224734048"/>
        <c:axId val="465372048"/>
      </c:lineChart>
      <c:catAx>
        <c:axId val="22473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65372048"/>
        <c:crosses val="autoZero"/>
        <c:auto val="1"/>
        <c:lblAlgn val="ctr"/>
        <c:lblOffset val="100"/>
        <c:noMultiLvlLbl val="0"/>
      </c:catAx>
      <c:valAx>
        <c:axId val="4653720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24734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0.63029</cdr:x>
      <cdr:y>0.2905</cdr:y>
    </cdr:from>
    <cdr:to>
      <cdr:x>0.8302</cdr:x>
      <cdr:y>0.42737</cdr:y>
    </cdr:to>
    <cdr:sp macro="" textlink="">
      <cdr:nvSpPr>
        <cdr:cNvPr id="2" name="線吹き出し 2 (枠付き) 1"/>
        <cdr:cNvSpPr/>
      </cdr:nvSpPr>
      <cdr:spPr>
        <a:xfrm xmlns:a="http://schemas.openxmlformats.org/drawingml/2006/main">
          <a:off x="3403600" y="660400"/>
          <a:ext cx="1079500" cy="311150"/>
        </a:xfrm>
        <a:prstGeom xmlns:a="http://schemas.openxmlformats.org/drawingml/2006/main" prst="borderCallout2">
          <a:avLst>
            <a:gd name="adj1" fmla="val 18750"/>
            <a:gd name="adj2" fmla="val -8333"/>
            <a:gd name="adj3" fmla="val 18750"/>
            <a:gd name="adj4" fmla="val -16667"/>
            <a:gd name="adj5" fmla="val 194133"/>
            <a:gd name="adj6" fmla="val -37337"/>
          </a:avLst>
        </a:prstGeom>
        <a:ln xmlns:a="http://schemas.openxmlformats.org/drawingml/2006/main" w="6350">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en-US" altLang="ja-JP" sz="900"/>
            <a:t>74-90</a:t>
          </a:r>
          <a:r>
            <a:rPr lang="ja-JP" altLang="en-US" sz="900"/>
            <a:t>平均</a:t>
          </a:r>
          <a:r>
            <a:rPr lang="en-US" altLang="ja-JP" sz="900"/>
            <a:t>4.2%</a:t>
          </a:r>
          <a:endParaRPr lang="ja-JP" altLang="en-US" sz="900"/>
        </a:p>
      </cdr:txBody>
    </cdr:sp>
  </cdr:relSizeAnchor>
  <cdr:relSizeAnchor xmlns:cdr="http://schemas.openxmlformats.org/drawingml/2006/chartDrawing">
    <cdr:from>
      <cdr:x>0.76199</cdr:x>
      <cdr:y>0.4581</cdr:y>
    </cdr:from>
    <cdr:to>
      <cdr:x>0.96425</cdr:x>
      <cdr:y>0.59497</cdr:y>
    </cdr:to>
    <cdr:sp macro="" textlink="">
      <cdr:nvSpPr>
        <cdr:cNvPr id="3" name="線吹き出し 2 (枠付き) 2"/>
        <cdr:cNvSpPr/>
      </cdr:nvSpPr>
      <cdr:spPr>
        <a:xfrm xmlns:a="http://schemas.openxmlformats.org/drawingml/2006/main">
          <a:off x="4114800" y="1041400"/>
          <a:ext cx="1092200" cy="311150"/>
        </a:xfrm>
        <a:prstGeom xmlns:a="http://schemas.openxmlformats.org/drawingml/2006/main" prst="borderCallout2">
          <a:avLst>
            <a:gd name="adj1" fmla="val 18750"/>
            <a:gd name="adj2" fmla="val -8333"/>
            <a:gd name="adj3" fmla="val 18750"/>
            <a:gd name="adj4" fmla="val -16667"/>
            <a:gd name="adj5" fmla="val 171684"/>
            <a:gd name="adj6" fmla="val -28062"/>
          </a:avLst>
        </a:prstGeom>
        <a:ln xmlns:a="http://schemas.openxmlformats.org/drawingml/2006/main" w="6350">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en-US" altLang="ja-JP" sz="900"/>
            <a:t>91-15</a:t>
          </a:r>
          <a:r>
            <a:rPr lang="ja-JP" altLang="en-US" sz="900"/>
            <a:t>平均</a:t>
          </a:r>
          <a:r>
            <a:rPr lang="en-US" altLang="ja-JP" sz="900"/>
            <a:t>0.9%</a:t>
          </a:r>
          <a:endParaRPr lang="ja-JP" altLang="en-US" sz="9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1</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akirafunato</dc:creator>
  <cp:keywords/>
  <dc:description/>
  <cp:lastModifiedBy>船戸明</cp:lastModifiedBy>
  <cp:revision>59</cp:revision>
  <cp:lastPrinted>2016-06-08T00:37:00Z</cp:lastPrinted>
  <dcterms:created xsi:type="dcterms:W3CDTF">2014-08-17T02:16:00Z</dcterms:created>
  <dcterms:modified xsi:type="dcterms:W3CDTF">2016-06-08T03:55:00Z</dcterms:modified>
</cp:coreProperties>
</file>